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24C" w:rsidRDefault="00DD2A5E" w:rsidP="00DD2A5E">
      <w:pPr>
        <w:jc w:val="center"/>
      </w:pPr>
      <w:r>
        <w:t>SECTION F:  DESIGN G</w:t>
      </w:r>
      <w:bookmarkStart w:id="0" w:name="SectionF_Design_Guide_TOC"/>
      <w:bookmarkEnd w:id="0"/>
      <w:r>
        <w:t>UIDE</w:t>
      </w:r>
    </w:p>
    <w:p w:rsidR="00DD2A5E" w:rsidRDefault="00DD2A5E" w:rsidP="00DD2A5E">
      <w:pPr>
        <w:spacing w:after="120"/>
        <w:rPr>
          <w:sz w:val="24"/>
        </w:rPr>
      </w:pPr>
      <w:r>
        <w:rPr>
          <w:sz w:val="24"/>
        </w:rPr>
        <w:t>CONTENTS</w:t>
      </w:r>
    </w:p>
    <w:p w:rsidR="00DD2A5E" w:rsidRDefault="00DD2A5E" w:rsidP="008C5580">
      <w:pPr>
        <w:spacing w:before="240"/>
        <w:rPr>
          <w:sz w:val="22"/>
        </w:rPr>
      </w:pPr>
      <w:r>
        <w:rPr>
          <w:sz w:val="22"/>
        </w:rPr>
        <w:t>Item</w:t>
      </w:r>
      <w:r>
        <w:rPr>
          <w:sz w:val="22"/>
        </w:rPr>
        <w:tab/>
        <w:t>Page</w:t>
      </w:r>
    </w:p>
    <w:p w:rsidR="00072FC8" w:rsidRDefault="00D86683">
      <w:pPr>
        <w:pStyle w:val="TOC1"/>
        <w:rPr>
          <w:rFonts w:asciiTheme="minorHAnsi" w:eastAsiaTheme="minorEastAsia" w:hAnsiTheme="minorHAnsi" w:cstheme="minorBidi"/>
          <w:caps w:val="0"/>
          <w:color w:val="auto"/>
          <w:lang w:val="en-ZA" w:eastAsia="en-ZA"/>
        </w:rPr>
      </w:pPr>
      <w:r>
        <w:fldChar w:fldCharType="begin"/>
      </w:r>
      <w:r w:rsidR="000D7952">
        <w:instrText xml:space="preserve"> TOC \h \z \t "List Number,1,Heading - Sections,1" </w:instrText>
      </w:r>
      <w:r>
        <w:fldChar w:fldCharType="separate"/>
      </w:r>
      <w:hyperlink w:anchor="_Toc298140508" w:history="1">
        <w:r w:rsidR="00072FC8" w:rsidRPr="00257802">
          <w:rPr>
            <w:rStyle w:val="Hyperlink"/>
          </w:rPr>
          <w:t>DESIGN GUIDE</w:t>
        </w:r>
        <w:r w:rsidR="00072FC8">
          <w:rPr>
            <w:webHidden/>
          </w:rPr>
          <w:tab/>
        </w:r>
        <w:r>
          <w:rPr>
            <w:webHidden/>
          </w:rPr>
          <w:fldChar w:fldCharType="begin"/>
        </w:r>
        <w:r w:rsidR="00072FC8">
          <w:rPr>
            <w:webHidden/>
          </w:rPr>
          <w:instrText xml:space="preserve"> PAGEREF _Toc298140508 \h </w:instrText>
        </w:r>
        <w:r>
          <w:rPr>
            <w:webHidden/>
          </w:rPr>
        </w:r>
        <w:r>
          <w:rPr>
            <w:webHidden/>
          </w:rPr>
          <w:fldChar w:fldCharType="separate"/>
        </w:r>
        <w:r w:rsidR="008E2274">
          <w:rPr>
            <w:webHidden/>
          </w:rPr>
          <w:t>2</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09" w:history="1">
        <w:r w:rsidR="00072FC8" w:rsidRPr="00257802">
          <w:rPr>
            <w:rStyle w:val="Hyperlink"/>
          </w:rPr>
          <w:t>F.1</w:t>
        </w:r>
        <w:r w:rsidR="00072FC8">
          <w:rPr>
            <w:rFonts w:asciiTheme="minorHAnsi" w:eastAsiaTheme="minorEastAsia" w:hAnsiTheme="minorHAnsi" w:cstheme="minorBidi"/>
            <w:caps w:val="0"/>
            <w:color w:val="auto"/>
            <w:lang w:val="en-ZA" w:eastAsia="en-ZA"/>
          </w:rPr>
          <w:tab/>
        </w:r>
        <w:r w:rsidR="00072FC8" w:rsidRPr="00257802">
          <w:rPr>
            <w:rStyle w:val="Hyperlink"/>
          </w:rPr>
          <w:t>I</w:t>
        </w:r>
        <w:bookmarkStart w:id="1" w:name="_GoBack"/>
        <w:bookmarkEnd w:id="1"/>
        <w:r w:rsidR="00072FC8" w:rsidRPr="00257802">
          <w:rPr>
            <w:rStyle w:val="Hyperlink"/>
          </w:rPr>
          <w:t>NTRODUCTION</w:t>
        </w:r>
        <w:r w:rsidR="00072FC8">
          <w:rPr>
            <w:webHidden/>
          </w:rPr>
          <w:tab/>
        </w:r>
        <w:r>
          <w:rPr>
            <w:webHidden/>
          </w:rPr>
          <w:fldChar w:fldCharType="begin"/>
        </w:r>
        <w:r w:rsidR="00072FC8">
          <w:rPr>
            <w:webHidden/>
          </w:rPr>
          <w:instrText xml:space="preserve"> PAGEREF _Toc298140509 \h </w:instrText>
        </w:r>
        <w:r>
          <w:rPr>
            <w:webHidden/>
          </w:rPr>
        </w:r>
        <w:r>
          <w:rPr>
            <w:webHidden/>
          </w:rPr>
          <w:fldChar w:fldCharType="separate"/>
        </w:r>
        <w:r w:rsidR="008E2274">
          <w:rPr>
            <w:webHidden/>
          </w:rPr>
          <w:t>2</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0" w:history="1">
        <w:r w:rsidR="00072FC8" w:rsidRPr="00257802">
          <w:rPr>
            <w:rStyle w:val="Hyperlink"/>
          </w:rPr>
          <w:t>F.2</w:t>
        </w:r>
        <w:r w:rsidR="00072FC8">
          <w:rPr>
            <w:rFonts w:asciiTheme="minorHAnsi" w:eastAsiaTheme="minorEastAsia" w:hAnsiTheme="minorHAnsi" w:cstheme="minorBidi"/>
            <w:caps w:val="0"/>
            <w:color w:val="auto"/>
            <w:lang w:val="en-ZA" w:eastAsia="en-ZA"/>
          </w:rPr>
          <w:tab/>
        </w:r>
        <w:r w:rsidR="00072FC8" w:rsidRPr="00257802">
          <w:rPr>
            <w:rStyle w:val="Hyperlink"/>
          </w:rPr>
          <w:t>PRECEDENCE OF DESIGN GUIDELINES</w:t>
        </w:r>
        <w:r w:rsidR="00072FC8">
          <w:rPr>
            <w:webHidden/>
          </w:rPr>
          <w:tab/>
        </w:r>
        <w:r>
          <w:rPr>
            <w:webHidden/>
          </w:rPr>
          <w:fldChar w:fldCharType="begin"/>
        </w:r>
        <w:r w:rsidR="00072FC8">
          <w:rPr>
            <w:webHidden/>
          </w:rPr>
          <w:instrText xml:space="preserve"> PAGEREF _Toc298140510 \h </w:instrText>
        </w:r>
        <w:r>
          <w:rPr>
            <w:webHidden/>
          </w:rPr>
        </w:r>
        <w:r>
          <w:rPr>
            <w:webHidden/>
          </w:rPr>
          <w:fldChar w:fldCharType="separate"/>
        </w:r>
        <w:r w:rsidR="008E2274">
          <w:rPr>
            <w:webHidden/>
          </w:rPr>
          <w:t>2</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1" w:history="1">
        <w:r w:rsidR="00072FC8" w:rsidRPr="00257802">
          <w:rPr>
            <w:rStyle w:val="Hyperlink"/>
          </w:rPr>
          <w:t>F.3</w:t>
        </w:r>
        <w:r w:rsidR="00072FC8">
          <w:rPr>
            <w:rFonts w:asciiTheme="minorHAnsi" w:eastAsiaTheme="minorEastAsia" w:hAnsiTheme="minorHAnsi" w:cstheme="minorBidi"/>
            <w:caps w:val="0"/>
            <w:color w:val="auto"/>
            <w:lang w:val="en-ZA" w:eastAsia="en-ZA"/>
          </w:rPr>
          <w:tab/>
        </w:r>
        <w:r w:rsidR="00072FC8" w:rsidRPr="00257802">
          <w:rPr>
            <w:rStyle w:val="Hyperlink"/>
          </w:rPr>
          <w:t>DESIGN RESPONSIBILITY</w:t>
        </w:r>
        <w:r w:rsidR="00072FC8">
          <w:rPr>
            <w:webHidden/>
          </w:rPr>
          <w:tab/>
        </w:r>
        <w:r>
          <w:rPr>
            <w:webHidden/>
          </w:rPr>
          <w:fldChar w:fldCharType="begin"/>
        </w:r>
        <w:r w:rsidR="00072FC8">
          <w:rPr>
            <w:webHidden/>
          </w:rPr>
          <w:instrText xml:space="preserve"> PAGEREF _Toc298140511 \h </w:instrText>
        </w:r>
        <w:r>
          <w:rPr>
            <w:webHidden/>
          </w:rPr>
        </w:r>
        <w:r>
          <w:rPr>
            <w:webHidden/>
          </w:rPr>
          <w:fldChar w:fldCharType="separate"/>
        </w:r>
        <w:r w:rsidR="008E2274">
          <w:rPr>
            <w:webHidden/>
          </w:rPr>
          <w:t>3</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2" w:history="1">
        <w:r w:rsidR="00072FC8" w:rsidRPr="00257802">
          <w:rPr>
            <w:rStyle w:val="Hyperlink"/>
          </w:rPr>
          <w:t>F.4</w:t>
        </w:r>
        <w:r w:rsidR="00072FC8">
          <w:rPr>
            <w:rFonts w:asciiTheme="minorHAnsi" w:eastAsiaTheme="minorEastAsia" w:hAnsiTheme="minorHAnsi" w:cstheme="minorBidi"/>
            <w:caps w:val="0"/>
            <w:color w:val="auto"/>
            <w:lang w:val="en-ZA" w:eastAsia="en-ZA"/>
          </w:rPr>
          <w:tab/>
        </w:r>
        <w:r w:rsidR="00072FC8" w:rsidRPr="00257802">
          <w:rPr>
            <w:rStyle w:val="Hyperlink"/>
          </w:rPr>
          <w:t>GENERAL GUIDELINES FOR SERVICES</w:t>
        </w:r>
        <w:r w:rsidR="00072FC8">
          <w:rPr>
            <w:webHidden/>
          </w:rPr>
          <w:tab/>
        </w:r>
        <w:r>
          <w:rPr>
            <w:webHidden/>
          </w:rPr>
          <w:fldChar w:fldCharType="begin"/>
        </w:r>
        <w:r w:rsidR="00072FC8">
          <w:rPr>
            <w:webHidden/>
          </w:rPr>
          <w:instrText xml:space="preserve"> PAGEREF _Toc298140512 \h </w:instrText>
        </w:r>
        <w:r>
          <w:rPr>
            <w:webHidden/>
          </w:rPr>
        </w:r>
        <w:r>
          <w:rPr>
            <w:webHidden/>
          </w:rPr>
          <w:fldChar w:fldCharType="separate"/>
        </w:r>
        <w:r w:rsidR="008E2274">
          <w:rPr>
            <w:webHidden/>
          </w:rPr>
          <w:t>3</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3" w:history="1">
        <w:r w:rsidR="00072FC8" w:rsidRPr="00257802">
          <w:rPr>
            <w:rStyle w:val="Hyperlink"/>
          </w:rPr>
          <w:t>F.5</w:t>
        </w:r>
        <w:r w:rsidR="00072FC8">
          <w:rPr>
            <w:rFonts w:asciiTheme="minorHAnsi" w:eastAsiaTheme="minorEastAsia" w:hAnsiTheme="minorHAnsi" w:cstheme="minorBidi"/>
            <w:caps w:val="0"/>
            <w:color w:val="auto"/>
            <w:lang w:val="en-ZA" w:eastAsia="en-ZA"/>
          </w:rPr>
          <w:tab/>
        </w:r>
        <w:r w:rsidR="00072FC8" w:rsidRPr="00257802">
          <w:rPr>
            <w:rStyle w:val="Hyperlink"/>
          </w:rPr>
          <w:t>ROADS AND PARKING AREAS</w:t>
        </w:r>
        <w:r w:rsidR="00072FC8">
          <w:rPr>
            <w:webHidden/>
          </w:rPr>
          <w:tab/>
        </w:r>
        <w:r>
          <w:rPr>
            <w:webHidden/>
          </w:rPr>
          <w:fldChar w:fldCharType="begin"/>
        </w:r>
        <w:r w:rsidR="00072FC8">
          <w:rPr>
            <w:webHidden/>
          </w:rPr>
          <w:instrText xml:space="preserve"> PAGEREF _Toc298140513 \h </w:instrText>
        </w:r>
        <w:r>
          <w:rPr>
            <w:webHidden/>
          </w:rPr>
        </w:r>
        <w:r>
          <w:rPr>
            <w:webHidden/>
          </w:rPr>
          <w:fldChar w:fldCharType="separate"/>
        </w:r>
        <w:r w:rsidR="008E2274">
          <w:rPr>
            <w:webHidden/>
          </w:rPr>
          <w:t>7</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4" w:history="1">
        <w:r w:rsidR="00072FC8" w:rsidRPr="00257802">
          <w:rPr>
            <w:rStyle w:val="Hyperlink"/>
          </w:rPr>
          <w:t>F.6</w:t>
        </w:r>
        <w:r w:rsidR="00072FC8">
          <w:rPr>
            <w:rFonts w:asciiTheme="minorHAnsi" w:eastAsiaTheme="minorEastAsia" w:hAnsiTheme="minorHAnsi" w:cstheme="minorBidi"/>
            <w:caps w:val="0"/>
            <w:color w:val="auto"/>
            <w:lang w:val="en-ZA" w:eastAsia="en-ZA"/>
          </w:rPr>
          <w:tab/>
        </w:r>
        <w:r w:rsidR="00072FC8" w:rsidRPr="00257802">
          <w:rPr>
            <w:rStyle w:val="Hyperlink"/>
          </w:rPr>
          <w:t>WATER SUPPLY</w:t>
        </w:r>
        <w:r w:rsidR="00072FC8">
          <w:rPr>
            <w:webHidden/>
          </w:rPr>
          <w:tab/>
        </w:r>
        <w:r>
          <w:rPr>
            <w:webHidden/>
          </w:rPr>
          <w:fldChar w:fldCharType="begin"/>
        </w:r>
        <w:r w:rsidR="00072FC8">
          <w:rPr>
            <w:webHidden/>
          </w:rPr>
          <w:instrText xml:space="preserve"> PAGEREF _Toc298140514 \h </w:instrText>
        </w:r>
        <w:r>
          <w:rPr>
            <w:webHidden/>
          </w:rPr>
        </w:r>
        <w:r>
          <w:rPr>
            <w:webHidden/>
          </w:rPr>
          <w:fldChar w:fldCharType="separate"/>
        </w:r>
        <w:r w:rsidR="008E2274">
          <w:rPr>
            <w:webHidden/>
          </w:rPr>
          <w:t>8</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5" w:history="1">
        <w:r w:rsidR="00072FC8" w:rsidRPr="00257802">
          <w:rPr>
            <w:rStyle w:val="Hyperlink"/>
          </w:rPr>
          <w:t>F.7</w:t>
        </w:r>
        <w:r w:rsidR="00072FC8">
          <w:rPr>
            <w:rFonts w:asciiTheme="minorHAnsi" w:eastAsiaTheme="minorEastAsia" w:hAnsiTheme="minorHAnsi" w:cstheme="minorBidi"/>
            <w:caps w:val="0"/>
            <w:color w:val="auto"/>
            <w:lang w:val="en-ZA" w:eastAsia="en-ZA"/>
          </w:rPr>
          <w:tab/>
        </w:r>
        <w:r w:rsidR="00072FC8" w:rsidRPr="00257802">
          <w:rPr>
            <w:rStyle w:val="Hyperlink"/>
          </w:rPr>
          <w:t>SANITATION</w:t>
        </w:r>
        <w:r w:rsidR="00072FC8">
          <w:rPr>
            <w:webHidden/>
          </w:rPr>
          <w:tab/>
        </w:r>
        <w:r>
          <w:rPr>
            <w:webHidden/>
          </w:rPr>
          <w:fldChar w:fldCharType="begin"/>
        </w:r>
        <w:r w:rsidR="00072FC8">
          <w:rPr>
            <w:webHidden/>
          </w:rPr>
          <w:instrText xml:space="preserve"> PAGEREF _Toc298140515 \h </w:instrText>
        </w:r>
        <w:r>
          <w:rPr>
            <w:webHidden/>
          </w:rPr>
        </w:r>
        <w:r>
          <w:rPr>
            <w:webHidden/>
          </w:rPr>
          <w:fldChar w:fldCharType="separate"/>
        </w:r>
        <w:r w:rsidR="008E2274">
          <w:rPr>
            <w:webHidden/>
          </w:rPr>
          <w:t>13</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6" w:history="1">
        <w:r w:rsidR="00072FC8" w:rsidRPr="00257802">
          <w:rPr>
            <w:rStyle w:val="Hyperlink"/>
          </w:rPr>
          <w:t>F.8</w:t>
        </w:r>
        <w:r w:rsidR="00072FC8">
          <w:rPr>
            <w:rFonts w:asciiTheme="minorHAnsi" w:eastAsiaTheme="minorEastAsia" w:hAnsiTheme="minorHAnsi" w:cstheme="minorBidi"/>
            <w:caps w:val="0"/>
            <w:color w:val="auto"/>
            <w:lang w:val="en-ZA" w:eastAsia="en-ZA"/>
          </w:rPr>
          <w:tab/>
        </w:r>
        <w:r w:rsidR="00072FC8" w:rsidRPr="00257802">
          <w:rPr>
            <w:rStyle w:val="Hyperlink"/>
          </w:rPr>
          <w:t>GUIDELINES FOR DESIGN AND CONSTRUCTION OF PUMP STATIONS</w:t>
        </w:r>
        <w:r w:rsidR="00072FC8">
          <w:rPr>
            <w:webHidden/>
          </w:rPr>
          <w:tab/>
        </w:r>
        <w:r>
          <w:rPr>
            <w:webHidden/>
          </w:rPr>
          <w:fldChar w:fldCharType="begin"/>
        </w:r>
        <w:r w:rsidR="00072FC8">
          <w:rPr>
            <w:webHidden/>
          </w:rPr>
          <w:instrText xml:space="preserve"> PAGEREF _Toc298140516 \h </w:instrText>
        </w:r>
        <w:r>
          <w:rPr>
            <w:webHidden/>
          </w:rPr>
        </w:r>
        <w:r>
          <w:rPr>
            <w:webHidden/>
          </w:rPr>
          <w:fldChar w:fldCharType="separate"/>
        </w:r>
        <w:r w:rsidR="008E2274">
          <w:rPr>
            <w:webHidden/>
          </w:rPr>
          <w:t>18</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7" w:history="1">
        <w:r w:rsidR="00072FC8" w:rsidRPr="00257802">
          <w:rPr>
            <w:rStyle w:val="Hyperlink"/>
          </w:rPr>
          <w:t>F.9</w:t>
        </w:r>
        <w:r w:rsidR="00072FC8">
          <w:rPr>
            <w:rFonts w:asciiTheme="minorHAnsi" w:eastAsiaTheme="minorEastAsia" w:hAnsiTheme="minorHAnsi" w:cstheme="minorBidi"/>
            <w:caps w:val="0"/>
            <w:color w:val="auto"/>
            <w:lang w:val="en-ZA" w:eastAsia="en-ZA"/>
          </w:rPr>
          <w:tab/>
        </w:r>
        <w:r w:rsidR="00072FC8" w:rsidRPr="00257802">
          <w:rPr>
            <w:rStyle w:val="Hyperlink"/>
          </w:rPr>
          <w:t>STORM</w:t>
        </w:r>
        <w:r w:rsidR="007C5DEC">
          <w:rPr>
            <w:rStyle w:val="Hyperlink"/>
          </w:rPr>
          <w:t xml:space="preserve"> </w:t>
        </w:r>
        <w:r w:rsidR="00072FC8" w:rsidRPr="00257802">
          <w:rPr>
            <w:rStyle w:val="Hyperlink"/>
          </w:rPr>
          <w:t>WATER</w:t>
        </w:r>
        <w:r w:rsidR="00072FC8">
          <w:rPr>
            <w:webHidden/>
          </w:rPr>
          <w:tab/>
        </w:r>
        <w:r>
          <w:rPr>
            <w:webHidden/>
          </w:rPr>
          <w:fldChar w:fldCharType="begin"/>
        </w:r>
        <w:r w:rsidR="00072FC8">
          <w:rPr>
            <w:webHidden/>
          </w:rPr>
          <w:instrText xml:space="preserve"> PAGEREF _Toc298140517 \h </w:instrText>
        </w:r>
        <w:r>
          <w:rPr>
            <w:webHidden/>
          </w:rPr>
        </w:r>
        <w:r>
          <w:rPr>
            <w:webHidden/>
          </w:rPr>
          <w:fldChar w:fldCharType="separate"/>
        </w:r>
        <w:r w:rsidR="008E2274">
          <w:rPr>
            <w:webHidden/>
          </w:rPr>
          <w:t>23</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8" w:history="1">
        <w:r w:rsidR="00072FC8" w:rsidRPr="00257802">
          <w:rPr>
            <w:rStyle w:val="Hyperlink"/>
          </w:rPr>
          <w:t>F.10</w:t>
        </w:r>
        <w:r w:rsidR="00072FC8">
          <w:rPr>
            <w:rFonts w:asciiTheme="minorHAnsi" w:eastAsiaTheme="minorEastAsia" w:hAnsiTheme="minorHAnsi" w:cstheme="minorBidi"/>
            <w:caps w:val="0"/>
            <w:color w:val="auto"/>
            <w:lang w:val="en-ZA" w:eastAsia="en-ZA"/>
          </w:rPr>
          <w:tab/>
        </w:r>
        <w:r w:rsidR="00072FC8" w:rsidRPr="00257802">
          <w:rPr>
            <w:rStyle w:val="Hyperlink"/>
          </w:rPr>
          <w:t>SUBSURFACE DRAINAGE</w:t>
        </w:r>
        <w:r w:rsidR="00072FC8">
          <w:rPr>
            <w:webHidden/>
          </w:rPr>
          <w:tab/>
        </w:r>
        <w:r>
          <w:rPr>
            <w:webHidden/>
          </w:rPr>
          <w:fldChar w:fldCharType="begin"/>
        </w:r>
        <w:r w:rsidR="00072FC8">
          <w:rPr>
            <w:webHidden/>
          </w:rPr>
          <w:instrText xml:space="preserve"> PAGEREF _Toc298140518 \h </w:instrText>
        </w:r>
        <w:r>
          <w:rPr>
            <w:webHidden/>
          </w:rPr>
        </w:r>
        <w:r>
          <w:rPr>
            <w:webHidden/>
          </w:rPr>
          <w:fldChar w:fldCharType="separate"/>
        </w:r>
        <w:r w:rsidR="008E2274">
          <w:rPr>
            <w:webHidden/>
          </w:rPr>
          <w:t>24</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19" w:history="1">
        <w:r w:rsidR="00072FC8" w:rsidRPr="00257802">
          <w:rPr>
            <w:rStyle w:val="Hyperlink"/>
          </w:rPr>
          <w:t>F.11</w:t>
        </w:r>
        <w:r w:rsidR="00072FC8">
          <w:rPr>
            <w:rFonts w:asciiTheme="minorHAnsi" w:eastAsiaTheme="minorEastAsia" w:hAnsiTheme="minorHAnsi" w:cstheme="minorBidi"/>
            <w:caps w:val="0"/>
            <w:color w:val="auto"/>
            <w:lang w:val="en-ZA" w:eastAsia="en-ZA"/>
          </w:rPr>
          <w:tab/>
        </w:r>
        <w:r w:rsidR="00072FC8" w:rsidRPr="00257802">
          <w:rPr>
            <w:rStyle w:val="Hyperlink"/>
          </w:rPr>
          <w:t>EXISTING ELECTRICAL SERVICES</w:t>
        </w:r>
        <w:r w:rsidR="00072FC8">
          <w:rPr>
            <w:webHidden/>
          </w:rPr>
          <w:tab/>
        </w:r>
        <w:r>
          <w:rPr>
            <w:webHidden/>
          </w:rPr>
          <w:fldChar w:fldCharType="begin"/>
        </w:r>
        <w:r w:rsidR="00072FC8">
          <w:rPr>
            <w:webHidden/>
          </w:rPr>
          <w:instrText xml:space="preserve"> PAGEREF _Toc298140519 \h </w:instrText>
        </w:r>
        <w:r>
          <w:rPr>
            <w:webHidden/>
          </w:rPr>
        </w:r>
        <w:r>
          <w:rPr>
            <w:webHidden/>
          </w:rPr>
          <w:fldChar w:fldCharType="separate"/>
        </w:r>
        <w:r w:rsidR="008E2274">
          <w:rPr>
            <w:webHidden/>
          </w:rPr>
          <w:t>24</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20" w:history="1">
        <w:r w:rsidR="00072FC8" w:rsidRPr="00257802">
          <w:rPr>
            <w:rStyle w:val="Hyperlink"/>
          </w:rPr>
          <w:t>F.12</w:t>
        </w:r>
        <w:r w:rsidR="00072FC8">
          <w:rPr>
            <w:rFonts w:asciiTheme="minorHAnsi" w:eastAsiaTheme="minorEastAsia" w:hAnsiTheme="minorHAnsi" w:cstheme="minorBidi"/>
            <w:caps w:val="0"/>
            <w:color w:val="auto"/>
            <w:lang w:val="en-ZA" w:eastAsia="en-ZA"/>
          </w:rPr>
          <w:tab/>
        </w:r>
        <w:r w:rsidR="00072FC8" w:rsidRPr="00257802">
          <w:rPr>
            <w:rStyle w:val="Hyperlink"/>
          </w:rPr>
          <w:t>ENVIRONMENTAL ISSUES</w:t>
        </w:r>
        <w:r w:rsidR="00072FC8">
          <w:rPr>
            <w:webHidden/>
          </w:rPr>
          <w:tab/>
        </w:r>
        <w:r>
          <w:rPr>
            <w:webHidden/>
          </w:rPr>
          <w:fldChar w:fldCharType="begin"/>
        </w:r>
        <w:r w:rsidR="00072FC8">
          <w:rPr>
            <w:webHidden/>
          </w:rPr>
          <w:instrText xml:space="preserve"> PAGEREF _Toc298140520 \h </w:instrText>
        </w:r>
        <w:r>
          <w:rPr>
            <w:webHidden/>
          </w:rPr>
        </w:r>
        <w:r>
          <w:rPr>
            <w:webHidden/>
          </w:rPr>
          <w:fldChar w:fldCharType="separate"/>
        </w:r>
        <w:r w:rsidR="008E2274">
          <w:rPr>
            <w:webHidden/>
          </w:rPr>
          <w:t>25</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21" w:history="1">
        <w:r w:rsidR="00072FC8" w:rsidRPr="00257802">
          <w:rPr>
            <w:rStyle w:val="Hyperlink"/>
          </w:rPr>
          <w:t>F.13</w:t>
        </w:r>
        <w:r w:rsidR="00072FC8">
          <w:rPr>
            <w:rFonts w:asciiTheme="minorHAnsi" w:eastAsiaTheme="minorEastAsia" w:hAnsiTheme="minorHAnsi" w:cstheme="minorBidi"/>
            <w:caps w:val="0"/>
            <w:color w:val="auto"/>
            <w:lang w:val="en-ZA" w:eastAsia="en-ZA"/>
          </w:rPr>
          <w:tab/>
        </w:r>
        <w:r w:rsidR="00072FC8" w:rsidRPr="00257802">
          <w:rPr>
            <w:rStyle w:val="Hyperlink"/>
          </w:rPr>
          <w:t>SOLID WASTE DISPOSAL</w:t>
        </w:r>
        <w:r w:rsidR="00072FC8">
          <w:rPr>
            <w:webHidden/>
          </w:rPr>
          <w:tab/>
        </w:r>
        <w:r>
          <w:rPr>
            <w:webHidden/>
          </w:rPr>
          <w:fldChar w:fldCharType="begin"/>
        </w:r>
        <w:r w:rsidR="00072FC8">
          <w:rPr>
            <w:webHidden/>
          </w:rPr>
          <w:instrText xml:space="preserve"> PAGEREF _Toc298140521 \h </w:instrText>
        </w:r>
        <w:r>
          <w:rPr>
            <w:webHidden/>
          </w:rPr>
        </w:r>
        <w:r>
          <w:rPr>
            <w:webHidden/>
          </w:rPr>
          <w:fldChar w:fldCharType="separate"/>
        </w:r>
        <w:r w:rsidR="008E2274">
          <w:rPr>
            <w:webHidden/>
          </w:rPr>
          <w:t>26</w:t>
        </w:r>
        <w:r>
          <w:rPr>
            <w:webHidden/>
          </w:rPr>
          <w:fldChar w:fldCharType="end"/>
        </w:r>
      </w:hyperlink>
    </w:p>
    <w:p w:rsidR="00072FC8" w:rsidRDefault="00D86683">
      <w:pPr>
        <w:pStyle w:val="TOC1"/>
        <w:rPr>
          <w:rFonts w:asciiTheme="minorHAnsi" w:eastAsiaTheme="minorEastAsia" w:hAnsiTheme="minorHAnsi" w:cstheme="minorBidi"/>
          <w:caps w:val="0"/>
          <w:color w:val="auto"/>
          <w:lang w:val="en-ZA" w:eastAsia="en-ZA"/>
        </w:rPr>
      </w:pPr>
      <w:hyperlink w:anchor="_Toc298140522" w:history="1">
        <w:r w:rsidR="00072FC8" w:rsidRPr="00257802">
          <w:rPr>
            <w:rStyle w:val="Hyperlink"/>
          </w:rPr>
          <w:t>F.14</w:t>
        </w:r>
        <w:r w:rsidR="00072FC8">
          <w:rPr>
            <w:rFonts w:asciiTheme="minorHAnsi" w:eastAsiaTheme="minorEastAsia" w:hAnsiTheme="minorHAnsi" w:cstheme="minorBidi"/>
            <w:caps w:val="0"/>
            <w:color w:val="auto"/>
            <w:lang w:val="en-ZA" w:eastAsia="en-ZA"/>
          </w:rPr>
          <w:tab/>
        </w:r>
        <w:r w:rsidR="00072FC8" w:rsidRPr="00257802">
          <w:rPr>
            <w:rStyle w:val="Hyperlink"/>
          </w:rPr>
          <w:t>HAZARDOUS WASTE DISPOSAL</w:t>
        </w:r>
        <w:r w:rsidR="00072FC8">
          <w:rPr>
            <w:webHidden/>
          </w:rPr>
          <w:tab/>
        </w:r>
        <w:r>
          <w:rPr>
            <w:webHidden/>
          </w:rPr>
          <w:fldChar w:fldCharType="begin"/>
        </w:r>
        <w:r w:rsidR="00072FC8">
          <w:rPr>
            <w:webHidden/>
          </w:rPr>
          <w:instrText xml:space="preserve"> PAGEREF _Toc298140522 \h </w:instrText>
        </w:r>
        <w:r>
          <w:rPr>
            <w:webHidden/>
          </w:rPr>
        </w:r>
        <w:r>
          <w:rPr>
            <w:webHidden/>
          </w:rPr>
          <w:fldChar w:fldCharType="separate"/>
        </w:r>
        <w:r w:rsidR="008E2274">
          <w:rPr>
            <w:webHidden/>
          </w:rPr>
          <w:t>26</w:t>
        </w:r>
        <w:r>
          <w:rPr>
            <w:webHidden/>
          </w:rPr>
          <w:fldChar w:fldCharType="end"/>
        </w:r>
      </w:hyperlink>
    </w:p>
    <w:p w:rsidR="00DD2A5E" w:rsidRDefault="00D86683" w:rsidP="008C5580">
      <w:pPr>
        <w:pStyle w:val="TOC1"/>
        <w:sectPr w:rsidR="00DD2A5E" w:rsidSect="009729A1">
          <w:headerReference w:type="default" r:id="rId8"/>
          <w:footerReference w:type="default" r:id="rId9"/>
          <w:pgSz w:w="11906" w:h="16838" w:code="9"/>
          <w:pgMar w:top="1134" w:right="964" w:bottom="964" w:left="1134" w:header="794" w:footer="510" w:gutter="0"/>
          <w:cols w:space="708"/>
          <w:docGrid w:linePitch="360"/>
        </w:sectPr>
      </w:pPr>
      <w:r>
        <w:fldChar w:fldCharType="end"/>
      </w:r>
    </w:p>
    <w:p w:rsidR="00DD2A5E" w:rsidRDefault="00DB26D0" w:rsidP="00F8644B">
      <w:pPr>
        <w:pStyle w:val="Heading-Sections"/>
      </w:pPr>
      <w:bookmarkStart w:id="2" w:name="_Toc298140508"/>
      <w:r>
        <w:lastRenderedPageBreak/>
        <w:t>DESIGN GUIDE</w:t>
      </w:r>
      <w:bookmarkEnd w:id="2"/>
    </w:p>
    <w:p w:rsidR="00DB26D0" w:rsidRDefault="00DB26D0" w:rsidP="00DB26D0">
      <w:pPr>
        <w:pStyle w:val="ListNumber"/>
      </w:pPr>
      <w:bookmarkStart w:id="3" w:name="_Toc298140509"/>
      <w:r>
        <w:t>INTRODUCTION</w:t>
      </w:r>
      <w:bookmarkEnd w:id="3"/>
    </w:p>
    <w:p w:rsidR="00355003" w:rsidRPr="00355003" w:rsidRDefault="00355003" w:rsidP="00355003">
      <w:pPr>
        <w:pStyle w:val="Para2"/>
      </w:pPr>
      <w:r w:rsidRPr="00355003">
        <w:t>The design guide section is intended to provide the consulting civil engineer with information, design figures and guidelines based on experiences of the Department applicable to the design of civil engineering services most frequently encountered on its projects.</w:t>
      </w:r>
    </w:p>
    <w:p w:rsidR="00355003" w:rsidRPr="00355003" w:rsidRDefault="00355003" w:rsidP="00355003">
      <w:pPr>
        <w:pStyle w:val="Para2"/>
      </w:pPr>
      <w:r w:rsidRPr="00355003">
        <w:t>It is not a design manual but only rather a guideline document, which is not necessarily comprehensive or applicable to all projects.</w:t>
      </w:r>
    </w:p>
    <w:p w:rsidR="00355003" w:rsidRPr="00355003" w:rsidRDefault="00355003" w:rsidP="00355003">
      <w:pPr>
        <w:pStyle w:val="Para2"/>
      </w:pPr>
      <w:r w:rsidRPr="00355003">
        <w:t>Any design must address the aims and objectives of the Expanded Public Works Programme (EPWP) as far as practicable.  The consulting civil engineer must clearly state to what extent the design complies with these aims and objectives.</w:t>
      </w:r>
    </w:p>
    <w:p w:rsidR="00DB26D0" w:rsidRDefault="00355003" w:rsidP="00355003">
      <w:pPr>
        <w:pStyle w:val="Para2"/>
      </w:pPr>
      <w:r w:rsidRPr="00355003">
        <w:t xml:space="preserve">Clients must be properly briefed on the operation and maintenance of installations constructed by the Engineer and user friendly manuals must be provided for this purpose.  </w:t>
      </w:r>
      <w:r w:rsidRPr="00355003">
        <w:rPr>
          <w:rFonts w:hint="eastAsia"/>
        </w:rPr>
        <w:t>“</w:t>
      </w:r>
      <w:r w:rsidRPr="00355003">
        <w:t>As-built</w:t>
      </w:r>
      <w:r w:rsidRPr="00355003">
        <w:rPr>
          <w:rFonts w:hint="eastAsia"/>
        </w:rPr>
        <w:t>”</w:t>
      </w:r>
      <w:r w:rsidRPr="00355003">
        <w:t xml:space="preserve"> drawings of all such installations must be handed over to the Client and the Project Manager.</w:t>
      </w:r>
    </w:p>
    <w:p w:rsidR="00355003" w:rsidRDefault="00355003" w:rsidP="00355003">
      <w:pPr>
        <w:pStyle w:val="ListNumber"/>
      </w:pPr>
      <w:bookmarkStart w:id="4" w:name="_Toc298140510"/>
      <w:r>
        <w:t>PRECEDENCE OF DESIGN GUIDELINES</w:t>
      </w:r>
      <w:bookmarkEnd w:id="4"/>
    </w:p>
    <w:p w:rsidR="00355003" w:rsidRPr="00355003" w:rsidRDefault="00355003" w:rsidP="00355003">
      <w:pPr>
        <w:pStyle w:val="Para2"/>
      </w:pPr>
      <w:r w:rsidRPr="00355003">
        <w:t>Where applicable, services should generally be designed in accordance with the following documents, in the precedence shown:</w:t>
      </w:r>
    </w:p>
    <w:p w:rsidR="00355003" w:rsidRPr="00355003" w:rsidRDefault="00355003" w:rsidP="00355003">
      <w:pPr>
        <w:pStyle w:val="ListNumber2"/>
      </w:pPr>
      <w:r w:rsidRPr="00355003">
        <w:t>Applicable Laws and Acts of South Africa, especially with regard to environmental, water and effluent matters.</w:t>
      </w:r>
    </w:p>
    <w:p w:rsidR="00355003" w:rsidRPr="009729A1" w:rsidRDefault="00355003" w:rsidP="00355003">
      <w:pPr>
        <w:pStyle w:val="ListNumber2"/>
      </w:pPr>
      <w:r w:rsidRPr="00355003">
        <w:t xml:space="preserve">Departmental Directives and typical drawings, with special emphasis on directives regarding dolomite areas.  The following PRM-forms are available on Departmental website for work on dolomite areas:  </w:t>
      </w:r>
      <w:hyperlink r:id="rId10" w:anchor="PRM006civ_1" w:history="1">
        <w:r w:rsidRPr="009729A1">
          <w:rPr>
            <w:rStyle w:val="Hyperlink"/>
          </w:rPr>
          <w:t>PRM006civ</w:t>
        </w:r>
      </w:hyperlink>
      <w:r w:rsidRPr="00355003">
        <w:t xml:space="preserve">, </w:t>
      </w:r>
      <w:hyperlink r:id="rId11" w:anchor="PRM007civ_1" w:history="1">
        <w:r w:rsidRPr="009729A1">
          <w:rPr>
            <w:rStyle w:val="Hyperlink"/>
          </w:rPr>
          <w:t>PRM007civ</w:t>
        </w:r>
      </w:hyperlink>
      <w:r w:rsidRPr="009729A1">
        <w:t xml:space="preserve">, </w:t>
      </w:r>
      <w:hyperlink r:id="rId12" w:anchor="PRM011Aciv_1" w:history="1">
        <w:r w:rsidRPr="009729A1">
          <w:rPr>
            <w:rStyle w:val="Hyperlink"/>
          </w:rPr>
          <w:t>PRM011Aciv</w:t>
        </w:r>
      </w:hyperlink>
      <w:r w:rsidRPr="009729A1">
        <w:t xml:space="preserve">, </w:t>
      </w:r>
      <w:hyperlink r:id="rId13" w:anchor="PRM012civ_1" w:history="1">
        <w:r w:rsidRPr="009729A1">
          <w:rPr>
            <w:rStyle w:val="Hyperlink"/>
          </w:rPr>
          <w:t>PRM012civ</w:t>
        </w:r>
      </w:hyperlink>
      <w:r w:rsidRPr="009729A1">
        <w:t xml:space="preserve">, </w:t>
      </w:r>
      <w:hyperlink r:id="rId14" w:anchor="PRM016_7civ_1_Sketch_Plan_Comm_Manual" w:history="1">
        <w:r w:rsidRPr="009729A1">
          <w:rPr>
            <w:rStyle w:val="Hyperlink"/>
          </w:rPr>
          <w:t>PRM016</w:t>
        </w:r>
        <w:r w:rsidR="009729A1">
          <w:rPr>
            <w:rStyle w:val="Hyperlink"/>
          </w:rPr>
          <w:t>/7</w:t>
        </w:r>
        <w:r w:rsidRPr="009729A1">
          <w:rPr>
            <w:rStyle w:val="Hyperlink"/>
          </w:rPr>
          <w:t>civ</w:t>
        </w:r>
      </w:hyperlink>
      <w:r w:rsidRPr="009729A1">
        <w:t xml:space="preserve">, and </w:t>
      </w:r>
      <w:hyperlink r:id="rId15" w:anchor="PRM018civ_1" w:history="1">
        <w:r w:rsidRPr="00413E07">
          <w:rPr>
            <w:rStyle w:val="Hyperlink"/>
          </w:rPr>
          <w:t>PRM018civ.</w:t>
        </w:r>
      </w:hyperlink>
    </w:p>
    <w:p w:rsidR="00355003" w:rsidRPr="00355003" w:rsidRDefault="00355003" w:rsidP="00355003">
      <w:pPr>
        <w:pStyle w:val="ListNumber2"/>
      </w:pPr>
      <w:r w:rsidRPr="00355003">
        <w:t xml:space="preserve">SANS (previous SABS) Specifications (all references to SABS documents are deemed to be references to the applicable SANS document as per Government Notice No. 1373 of </w:t>
      </w:r>
      <w:r w:rsidR="00F8644B">
        <w:br/>
      </w:r>
      <w:r w:rsidRPr="00355003">
        <w:t>8 November 2002).</w:t>
      </w:r>
    </w:p>
    <w:p w:rsidR="00355003" w:rsidRPr="00355003" w:rsidRDefault="00355003" w:rsidP="00355003">
      <w:pPr>
        <w:pStyle w:val="ListNumber2"/>
      </w:pPr>
      <w:r w:rsidRPr="00355003">
        <w:rPr>
          <w:rFonts w:hint="eastAsia"/>
        </w:rPr>
        <w:t>“</w:t>
      </w:r>
      <w:r w:rsidRPr="00355003">
        <w:t>Guidelines for Human Settlement Planning and Design</w:t>
      </w:r>
      <w:r w:rsidRPr="00355003">
        <w:rPr>
          <w:rFonts w:hint="eastAsia"/>
        </w:rPr>
        <w:t>”</w:t>
      </w:r>
      <w:r w:rsidRPr="00355003">
        <w:t xml:space="preserve"> obtainable from the South African Institution of Civil Engineers.</w:t>
      </w:r>
    </w:p>
    <w:p w:rsidR="00355003" w:rsidRPr="00355003" w:rsidRDefault="00355003" w:rsidP="00355003">
      <w:pPr>
        <w:pStyle w:val="ListNumber2"/>
      </w:pPr>
      <w:r w:rsidRPr="00355003">
        <w:t xml:space="preserve">Guidelines for the Implementation of Labour-Intensive Infrastructure Projects under the Expanded Public Works Programme (EPWP) </w:t>
      </w:r>
      <w:r w:rsidRPr="00355003">
        <w:rPr>
          <w:rFonts w:hint="eastAsia"/>
        </w:rPr>
        <w:t>–</w:t>
      </w:r>
      <w:r w:rsidRPr="00355003">
        <w:t xml:space="preserve"> available on the Departmental website.</w:t>
      </w:r>
    </w:p>
    <w:p w:rsidR="00355003" w:rsidRPr="00355003" w:rsidRDefault="00355003" w:rsidP="00355003">
      <w:pPr>
        <w:pStyle w:val="ListNumber2"/>
      </w:pPr>
      <w:r w:rsidRPr="00355003">
        <w:t xml:space="preserve">CIDB </w:t>
      </w:r>
      <w:r w:rsidRPr="00355003">
        <w:rPr>
          <w:rFonts w:hint="eastAsia"/>
        </w:rPr>
        <w:t>–</w:t>
      </w:r>
      <w:r w:rsidRPr="00355003">
        <w:t xml:space="preserve"> Practice Manual </w:t>
      </w:r>
      <w:r w:rsidRPr="00355003">
        <w:rPr>
          <w:rFonts w:hint="eastAsia"/>
        </w:rPr>
        <w:t>–</w:t>
      </w:r>
      <w:r w:rsidRPr="00355003">
        <w:t xml:space="preserve"> </w:t>
      </w:r>
      <w:r w:rsidRPr="00355003">
        <w:rPr>
          <w:rFonts w:hint="eastAsia"/>
        </w:rPr>
        <w:t>“</w:t>
      </w:r>
      <w:r w:rsidRPr="00355003">
        <w:t>Implementing employment intensive road works</w:t>
      </w:r>
      <w:r w:rsidRPr="00355003">
        <w:rPr>
          <w:rFonts w:hint="eastAsia"/>
        </w:rPr>
        <w:t>”</w:t>
      </w:r>
      <w:r w:rsidRPr="00355003">
        <w:t xml:space="preserve"> </w:t>
      </w:r>
      <w:r w:rsidRPr="00355003">
        <w:rPr>
          <w:rFonts w:hint="eastAsia"/>
        </w:rPr>
        <w:t>–</w:t>
      </w:r>
      <w:r w:rsidRPr="00355003">
        <w:t xml:space="preserve"> available on the CIDB website (</w:t>
      </w:r>
      <w:hyperlink r:id="rId16" w:history="1">
        <w:r w:rsidR="003C4D29">
          <w:rPr>
            <w:rStyle w:val="Hyperlink"/>
          </w:rPr>
          <w:t>http://www.cidb.org.za/</w:t>
        </w:r>
      </w:hyperlink>
      <w:r w:rsidRPr="00355003">
        <w:t>).</w:t>
      </w:r>
    </w:p>
    <w:p w:rsidR="00355003" w:rsidRPr="00355003" w:rsidRDefault="00355003" w:rsidP="00355003">
      <w:pPr>
        <w:pStyle w:val="ListNumber2"/>
      </w:pPr>
      <w:r w:rsidRPr="00355003">
        <w:t xml:space="preserve">CIDB </w:t>
      </w:r>
      <w:r w:rsidRPr="00355003">
        <w:rPr>
          <w:rFonts w:hint="eastAsia"/>
        </w:rPr>
        <w:t>–</w:t>
      </w:r>
      <w:r w:rsidRPr="00355003">
        <w:t xml:space="preserve"> Best Practice Guidelines </w:t>
      </w:r>
      <w:r w:rsidRPr="00355003">
        <w:rPr>
          <w:rFonts w:hint="eastAsia"/>
        </w:rPr>
        <w:t>–</w:t>
      </w:r>
      <w:r w:rsidRPr="00355003">
        <w:t xml:space="preserve"> </w:t>
      </w:r>
      <w:r w:rsidRPr="00355003">
        <w:rPr>
          <w:rFonts w:hint="eastAsia"/>
        </w:rPr>
        <w:t>“</w:t>
      </w:r>
      <w:r w:rsidRPr="00355003">
        <w:t>Labour Based Methods and Technologies for Employment Intensive Construction Works</w:t>
      </w:r>
      <w:r w:rsidRPr="00355003">
        <w:rPr>
          <w:rFonts w:hint="eastAsia"/>
        </w:rPr>
        <w:t>”</w:t>
      </w:r>
      <w:r w:rsidRPr="00355003">
        <w:t xml:space="preserve"> obtainable from the South African Institution of Civil Engineers.</w:t>
      </w:r>
    </w:p>
    <w:p w:rsidR="00355003" w:rsidRPr="00355003" w:rsidRDefault="00355003" w:rsidP="00355003">
      <w:pPr>
        <w:pStyle w:val="ListNumber2"/>
      </w:pPr>
      <w:r w:rsidRPr="00355003">
        <w:t>CIDB Practice Note 22a and b:  CIDB Infrastructure Gateway System.</w:t>
      </w:r>
    </w:p>
    <w:p w:rsidR="00355003" w:rsidRDefault="00355003" w:rsidP="00355003">
      <w:pPr>
        <w:pStyle w:val="ListNumber2"/>
      </w:pPr>
      <w:r w:rsidRPr="00355003">
        <w:t>Requirements of Local Authority where the relevant authority provides the fire prevention and fire fighting services.  In the case where the Local Authority</w:t>
      </w:r>
      <w:r w:rsidRPr="00355003">
        <w:rPr>
          <w:rFonts w:hint="eastAsia"/>
        </w:rPr>
        <w:t>’</w:t>
      </w:r>
      <w:r w:rsidRPr="00355003">
        <w:t>s requirements are more stringent than those described in this document, the Local Authority requirements will prevail.</w:t>
      </w:r>
    </w:p>
    <w:p w:rsidR="00355003" w:rsidRPr="00911942" w:rsidRDefault="00355003" w:rsidP="00355003">
      <w:pPr>
        <w:pStyle w:val="Para2"/>
      </w:pPr>
      <w:r w:rsidRPr="00911942">
        <w:lastRenderedPageBreak/>
        <w:t xml:space="preserve">In Section H is a table giving references to the newest </w:t>
      </w:r>
      <w:hyperlink r:id="rId17" w:anchor="SectionH_2_TABEL_RefToDesignGuidelines" w:history="1">
        <w:r w:rsidRPr="00801E34">
          <w:rPr>
            <w:rStyle w:val="Hyperlink"/>
          </w:rPr>
          <w:t>Design Guidelines</w:t>
        </w:r>
      </w:hyperlink>
      <w:r w:rsidRPr="00911942">
        <w:t xml:space="preserve"> available.  </w:t>
      </w:r>
      <w:r w:rsidR="00D43EB8">
        <w:br/>
      </w:r>
      <w:r w:rsidRPr="00911942">
        <w:t xml:space="preserve">Section H will periodically be updated and published on the Departmental website, i.e. </w:t>
      </w:r>
      <w:hyperlink r:id="rId18" w:history="1">
        <w:r w:rsidRPr="00F8644B">
          <w:rPr>
            <w:rStyle w:val="Hyperlink"/>
          </w:rPr>
          <w:t>http://www.publicworks.gov.za.</w:t>
        </w:r>
      </w:hyperlink>
    </w:p>
    <w:p w:rsidR="00355003" w:rsidRDefault="00355003" w:rsidP="00355003">
      <w:pPr>
        <w:pStyle w:val="Para2"/>
      </w:pPr>
      <w:r w:rsidRPr="00F8644B">
        <w:t>The use of any of the above guideline documents or any part thereof does not exempt the</w:t>
      </w:r>
      <w:r w:rsidRPr="00A20C56">
        <w:t xml:space="preserve"> consultant of his/her professional responsibilities in the execution of his/her duties in terms of his/her brief.</w:t>
      </w:r>
    </w:p>
    <w:p w:rsidR="00355003" w:rsidRPr="00355003" w:rsidRDefault="00355003" w:rsidP="00355003">
      <w:pPr>
        <w:pStyle w:val="ListNumber"/>
      </w:pPr>
      <w:bookmarkStart w:id="5" w:name="_Toc298140511"/>
      <w:r w:rsidRPr="00355003">
        <w:t>DESIGN RESPONSIBILITY</w:t>
      </w:r>
      <w:bookmarkEnd w:id="5"/>
    </w:p>
    <w:p w:rsidR="00355003" w:rsidRDefault="00355003" w:rsidP="00355003">
      <w:pPr>
        <w:pStyle w:val="Para2"/>
      </w:pPr>
      <w:r>
        <w:t>[</w:t>
      </w:r>
      <w:r w:rsidRPr="002B501D">
        <w:rPr>
          <w:i/>
        </w:rPr>
        <w:t xml:space="preserve">See also </w:t>
      </w:r>
      <w:r w:rsidRPr="002B501D">
        <w:rPr>
          <w:rFonts w:hint="eastAsia"/>
          <w:i/>
        </w:rPr>
        <w:t>“</w:t>
      </w:r>
      <w:r w:rsidRPr="002B501D">
        <w:rPr>
          <w:i/>
        </w:rPr>
        <w:t>Section 9:  Structures</w:t>
      </w:r>
      <w:r w:rsidRPr="002B501D">
        <w:rPr>
          <w:rFonts w:hint="eastAsia"/>
          <w:i/>
        </w:rPr>
        <w:t>”</w:t>
      </w:r>
      <w:r w:rsidRPr="002B501D">
        <w:rPr>
          <w:i/>
        </w:rPr>
        <w:t xml:space="preserve"> in the Construction regulations</w:t>
      </w:r>
      <w:r>
        <w:t>]</w:t>
      </w:r>
    </w:p>
    <w:p w:rsidR="00355003" w:rsidRDefault="00355003" w:rsidP="00355003">
      <w:pPr>
        <w:pStyle w:val="Para2"/>
      </w:pPr>
      <w:r>
        <w:t>Unless otherwise agreed to with the Departmental Project Manager in writing, and where applicable, the Consultant will inter alia be responsible for the design of the following:</w:t>
      </w:r>
    </w:p>
    <w:p w:rsidR="00355003" w:rsidRDefault="00355003" w:rsidP="009846BD">
      <w:pPr>
        <w:pStyle w:val="ListNumber2"/>
        <w:jc w:val="left"/>
      </w:pPr>
      <w:r>
        <w:t>Bulk earthworks, excluding footprint areas of structures/buildings.</w:t>
      </w:r>
    </w:p>
    <w:p w:rsidR="00355003" w:rsidRDefault="00355003" w:rsidP="009846BD">
      <w:pPr>
        <w:pStyle w:val="ListNumber2"/>
        <w:jc w:val="left"/>
      </w:pPr>
      <w:r>
        <w:t>All vehicle traffic areas, i.e. excluding pedestrian walkways except where these fall in the road verge.</w:t>
      </w:r>
    </w:p>
    <w:p w:rsidR="00355003" w:rsidRDefault="00355003" w:rsidP="009846BD">
      <w:pPr>
        <w:pStyle w:val="ListNumber2"/>
        <w:jc w:val="left"/>
      </w:pPr>
      <w:r>
        <w:t>Aprons and drainage areas in dolomite areas.</w:t>
      </w:r>
    </w:p>
    <w:p w:rsidR="00355003" w:rsidRDefault="00355003" w:rsidP="009846BD">
      <w:pPr>
        <w:pStyle w:val="ListNumber2"/>
        <w:jc w:val="left"/>
      </w:pPr>
      <w:r>
        <w:t>Bulk water supply and main sewer pipelines, including pumping installations, if applicable.</w:t>
      </w:r>
    </w:p>
    <w:p w:rsidR="00355003" w:rsidRDefault="00355003" w:rsidP="009846BD">
      <w:pPr>
        <w:pStyle w:val="ListNumber2"/>
        <w:jc w:val="left"/>
      </w:pPr>
      <w:r>
        <w:t>Water storage and purification, as well as sewage treatment if applicable.</w:t>
      </w:r>
    </w:p>
    <w:p w:rsidR="00355003" w:rsidRDefault="00355003" w:rsidP="009846BD">
      <w:pPr>
        <w:pStyle w:val="ListNumber2"/>
        <w:jc w:val="left"/>
      </w:pPr>
      <w:r>
        <w:t>Main sewer pipelines, excluding plumbing.</w:t>
      </w:r>
    </w:p>
    <w:p w:rsidR="00355003" w:rsidRDefault="00355003" w:rsidP="009846BD">
      <w:pPr>
        <w:pStyle w:val="ListNumber2"/>
        <w:jc w:val="left"/>
      </w:pPr>
      <w:r>
        <w:t>All external domestic water/fire mains and hydrants.  Branch pipes to buildings are the responsibility of the Architect.</w:t>
      </w:r>
    </w:p>
    <w:p w:rsidR="00355003" w:rsidRDefault="00355003" w:rsidP="009846BD">
      <w:pPr>
        <w:pStyle w:val="ListNumber2"/>
        <w:jc w:val="left"/>
      </w:pPr>
      <w:r>
        <w:t>Storm</w:t>
      </w:r>
      <w:r w:rsidR="00801E34">
        <w:t xml:space="preserve"> </w:t>
      </w:r>
      <w:r>
        <w:t>water drainage excluding rainwater disposal.</w:t>
      </w:r>
    </w:p>
    <w:p w:rsidR="00355003" w:rsidRDefault="00355003" w:rsidP="009846BD">
      <w:pPr>
        <w:pStyle w:val="ListNumber2"/>
        <w:jc w:val="left"/>
      </w:pPr>
      <w:r>
        <w:t>External telecommunication, signal, security, information technology and electrical cable ducting.</w:t>
      </w:r>
    </w:p>
    <w:p w:rsidR="00355003" w:rsidRDefault="00355003" w:rsidP="009846BD">
      <w:pPr>
        <w:pStyle w:val="ListNumber2"/>
        <w:jc w:val="left"/>
      </w:pPr>
      <w:r>
        <w:t>Sports facilities (excluding buildings) to the extent agreed with the Departmental Project Manager.</w:t>
      </w:r>
    </w:p>
    <w:p w:rsidR="00355003" w:rsidRDefault="00355003" w:rsidP="009846BD">
      <w:pPr>
        <w:pStyle w:val="ListNumber2"/>
        <w:jc w:val="left"/>
      </w:pPr>
      <w:r>
        <w:t xml:space="preserve">Solid Waste disposal </w:t>
      </w:r>
      <w:r>
        <w:rPr>
          <w:rFonts w:hint="eastAsia"/>
        </w:rPr>
        <w:t>–</w:t>
      </w:r>
      <w:r>
        <w:t xml:space="preserve"> review and state possible solutions.</w:t>
      </w:r>
    </w:p>
    <w:p w:rsidR="00355003" w:rsidRDefault="00355003" w:rsidP="009846BD">
      <w:pPr>
        <w:pStyle w:val="ListNumber2"/>
        <w:jc w:val="left"/>
      </w:pPr>
      <w:r>
        <w:t>Railway sidings excluding electrification.</w:t>
      </w:r>
    </w:p>
    <w:p w:rsidR="00355003" w:rsidRPr="004D0105" w:rsidRDefault="004D0105" w:rsidP="004D0105">
      <w:pPr>
        <w:pStyle w:val="ListNumber"/>
      </w:pPr>
      <w:bookmarkStart w:id="6" w:name="_Toc298140512"/>
      <w:r>
        <w:t>G</w:t>
      </w:r>
      <w:r w:rsidR="00355003" w:rsidRPr="004D0105">
        <w:t>ENERAL GUIDELINES FOR SERVICES</w:t>
      </w:r>
      <w:bookmarkEnd w:id="6"/>
    </w:p>
    <w:p w:rsidR="00355003" w:rsidRDefault="00355003" w:rsidP="004D0105">
      <w:pPr>
        <w:pStyle w:val="ListNumber2"/>
      </w:pPr>
      <w:r>
        <w:t>On sites with existing installations, the Consultant must contact the Regional Manager who will endeavour to point out the positions of existing water supply, sewers and electrical reticulations on site.</w:t>
      </w:r>
    </w:p>
    <w:p w:rsidR="00355003" w:rsidRDefault="00355003" w:rsidP="004D0105">
      <w:pPr>
        <w:pStyle w:val="ListNumber2"/>
      </w:pPr>
      <w:r>
        <w:t xml:space="preserve">Existing water and sewer information must also be obtained from the appropriate local authority and the end user where applicable.  This includes </w:t>
      </w:r>
      <w:r>
        <w:rPr>
          <w:rFonts w:hint="eastAsia"/>
        </w:rPr>
        <w:t>“</w:t>
      </w:r>
      <w:r>
        <w:t>as-built</w:t>
      </w:r>
      <w:r>
        <w:rPr>
          <w:rFonts w:hint="eastAsia"/>
        </w:rPr>
        <w:t>”</w:t>
      </w:r>
      <w:r>
        <w:t xml:space="preserve"> information, local authority requirements and preferences on technical detail and operating data (e.g. water pressure, pipeline capacity, fire regulations, municipal bulk contributions, municipal connection fees, etc.), where applicable.  Services to be relocated must be identified.</w:t>
      </w:r>
    </w:p>
    <w:p w:rsidR="00B86FB6" w:rsidRDefault="00355003" w:rsidP="00B86FB6">
      <w:pPr>
        <w:pStyle w:val="ListNumber2"/>
      </w:pPr>
      <w:r>
        <w:lastRenderedPageBreak/>
        <w:t>In the event where the interface points between the internal system and the external system (local authority) are outside the boundaries of the property of the Client/User Department, the local authority should be approached to provide an interface point at the property boundary.  If this cannot be done, approval has to be obta</w:t>
      </w:r>
      <w:r w:rsidR="00382B6B">
        <w:t xml:space="preserve">ined from Treasury in order to </w:t>
      </w:r>
      <w:r>
        <w:t>work outside the property.  This aspect will be thoroughly investigated and a report on the financial implications will be given at the report stage.</w:t>
      </w:r>
    </w:p>
    <w:p w:rsidR="00355003" w:rsidRPr="00B86FB6" w:rsidRDefault="00355003" w:rsidP="00B86FB6">
      <w:pPr>
        <w:pStyle w:val="ListNumber2"/>
      </w:pPr>
      <w:r w:rsidRPr="00B86FB6">
        <w:t>The Consulting Engineer must perform a provisional site investigation to obtain site condition information with regard to:</w:t>
      </w:r>
    </w:p>
    <w:p w:rsidR="00355003" w:rsidRDefault="00355003" w:rsidP="00382B6B">
      <w:pPr>
        <w:pStyle w:val="Bullets1-Paragraph"/>
      </w:pPr>
      <w:r>
        <w:t>soil type</w:t>
      </w:r>
    </w:p>
    <w:p w:rsidR="00355003" w:rsidRDefault="00355003" w:rsidP="00382B6B">
      <w:pPr>
        <w:pStyle w:val="Bullets1-Paragraph"/>
      </w:pPr>
      <w:r>
        <w:t>existing services (or lack thereof)</w:t>
      </w:r>
    </w:p>
    <w:p w:rsidR="00355003" w:rsidRDefault="00355003" w:rsidP="00382B6B">
      <w:pPr>
        <w:pStyle w:val="Bullets1-Paragraph"/>
      </w:pPr>
      <w:r>
        <w:t>general site surface conditions</w:t>
      </w:r>
    </w:p>
    <w:p w:rsidR="00355003" w:rsidRDefault="00355003" w:rsidP="00382B6B">
      <w:pPr>
        <w:pStyle w:val="Para2"/>
      </w:pPr>
      <w:r>
        <w:t>Please note that this excludes geotechnical and other detailed investigations to be done by specialists.</w:t>
      </w:r>
    </w:p>
    <w:p w:rsidR="00355003" w:rsidRDefault="00355003" w:rsidP="00382B6B">
      <w:pPr>
        <w:pStyle w:val="ListNumber2"/>
      </w:pPr>
      <w:r>
        <w:t>The Consultant will be responsible for the identification of interface points of all wet services, and for the applications to the relevant applicable local authority in order to connect into their existing services.</w:t>
      </w:r>
    </w:p>
    <w:p w:rsidR="00355003" w:rsidRDefault="00355003" w:rsidP="00382B6B">
      <w:pPr>
        <w:pStyle w:val="ListNumber2"/>
      </w:pPr>
      <w:r>
        <w:t>In cases where no existing water services are available, the utilization of other sources such as bore holes or surface water must be investigated.  In cases where no existing water or sewer services are available, a report recommending the preferred water and sanitation system to be used, must be forwarded to the Department for approval before detail design can commence.</w:t>
      </w:r>
    </w:p>
    <w:p w:rsidR="00355003" w:rsidRDefault="00355003" w:rsidP="00382B6B">
      <w:pPr>
        <w:pStyle w:val="ListNumber2"/>
      </w:pPr>
      <w:r>
        <w:t>The Consultant will only be responsible for the reticulation of bulk services on the inside of the Departmental property from the property boundary.  The Consultant however has to report on connection fees and bulk contributions of the local authority/bulk service provider.</w:t>
      </w:r>
    </w:p>
    <w:p w:rsidR="00355003" w:rsidRDefault="00355003" w:rsidP="00382B6B">
      <w:pPr>
        <w:pStyle w:val="ListNumber2"/>
      </w:pPr>
      <w:r>
        <w:t>Special care must be taken with the installation of services/ducting in dolomite areas.  The stipulations as taken up in the Departmental guide regarding dolomite will be adhered to:</w:t>
      </w:r>
    </w:p>
    <w:p w:rsidR="00355003" w:rsidRPr="00382B6B" w:rsidRDefault="00355003" w:rsidP="002B501D">
      <w:pPr>
        <w:pStyle w:val="Para2"/>
        <w:jc w:val="left"/>
        <w:rPr>
          <w:b/>
        </w:rPr>
      </w:pPr>
      <w:r w:rsidRPr="00382B6B">
        <w:rPr>
          <w:rFonts w:hint="eastAsia"/>
          <w:b/>
        </w:rPr>
        <w:t>“</w:t>
      </w:r>
      <w:r w:rsidRPr="00382B6B">
        <w:rPr>
          <w:b/>
        </w:rPr>
        <w:t xml:space="preserve">PW344 </w:t>
      </w:r>
      <w:r w:rsidRPr="00382B6B">
        <w:rPr>
          <w:rFonts w:hint="eastAsia"/>
          <w:b/>
        </w:rPr>
        <w:t>–</w:t>
      </w:r>
      <w:r w:rsidRPr="00382B6B">
        <w:rPr>
          <w:b/>
        </w:rPr>
        <w:t xml:space="preserve"> Appropriate Development of Infrastructure on Dolomite: Guidelines for Consultants</w:t>
      </w:r>
      <w:r w:rsidRPr="00382B6B">
        <w:rPr>
          <w:rFonts w:hint="eastAsia"/>
          <w:b/>
        </w:rPr>
        <w:t>”</w:t>
      </w:r>
      <w:r w:rsidRPr="00382B6B">
        <w:rPr>
          <w:b/>
        </w:rPr>
        <w:t>.</w:t>
      </w:r>
    </w:p>
    <w:p w:rsidR="00355003" w:rsidRPr="00382B6B" w:rsidRDefault="00355003" w:rsidP="00382B6B">
      <w:pPr>
        <w:pStyle w:val="ListNumber2"/>
      </w:pPr>
      <w:bookmarkStart w:id="7" w:name="SectionF4_9_Ducting"/>
      <w:r w:rsidRPr="00382B6B">
        <w:t>Ducting</w:t>
      </w:r>
      <w:bookmarkEnd w:id="7"/>
    </w:p>
    <w:p w:rsidR="00355003" w:rsidRDefault="00355003" w:rsidP="00382B6B">
      <w:pPr>
        <w:pStyle w:val="ListNumber3"/>
      </w:pPr>
      <w:r>
        <w:t>General</w:t>
      </w:r>
    </w:p>
    <w:p w:rsidR="00355003" w:rsidRDefault="00355003" w:rsidP="00382B6B">
      <w:pPr>
        <w:pStyle w:val="Para3"/>
      </w:pPr>
      <w:r>
        <w:t>The Civil Engineer is responsible for the co-ordination and detailing with respect to subsurface service ducting for other disciplines/consultants outside buildings.</w:t>
      </w:r>
    </w:p>
    <w:p w:rsidR="00355003" w:rsidRDefault="00355003" w:rsidP="00382B6B">
      <w:pPr>
        <w:pStyle w:val="ListNumber3"/>
      </w:pPr>
      <w:r>
        <w:t>Electrical Ducting</w:t>
      </w:r>
    </w:p>
    <w:p w:rsidR="00355003" w:rsidRDefault="00355003" w:rsidP="00382B6B">
      <w:pPr>
        <w:pStyle w:val="Para3"/>
      </w:pPr>
      <w:r>
        <w:t>Attention is specifically drawn to the requirements of SANS 1200LC and the Departmental specifications for electrical work with respect to ducting for electrical services.</w:t>
      </w:r>
    </w:p>
    <w:p w:rsidR="00355003" w:rsidRDefault="00355003" w:rsidP="00382B6B">
      <w:pPr>
        <w:pStyle w:val="ListNumber3"/>
      </w:pPr>
      <w:r>
        <w:t>Telecommunication Ducting</w:t>
      </w:r>
    </w:p>
    <w:p w:rsidR="00355003" w:rsidRDefault="00355003" w:rsidP="00382B6B">
      <w:pPr>
        <w:pStyle w:val="Para3"/>
      </w:pPr>
      <w:r>
        <w:t>Telecommunication ducting must be provided in accordance with the requirements of Telkom.  The position of such ducting must be obtained from the Architect.</w:t>
      </w:r>
    </w:p>
    <w:p w:rsidR="00355003" w:rsidRDefault="00355003" w:rsidP="00382B6B">
      <w:pPr>
        <w:pStyle w:val="ListNumber3"/>
      </w:pPr>
      <w:r>
        <w:t>Other Communication Ducting</w:t>
      </w:r>
    </w:p>
    <w:p w:rsidR="00355003" w:rsidRPr="00A20C56" w:rsidRDefault="00355003" w:rsidP="00C127B9">
      <w:pPr>
        <w:pStyle w:val="Para3"/>
      </w:pPr>
      <w:r>
        <w:t>The position of ducting for any other communication services must be obtained from the Architect or Client/User Department where applicable (subject to approval of the Departmental Project Manager).  Such ducting must be provided in accordance with the requirements of the supplier of the system.</w:t>
      </w:r>
    </w:p>
    <w:p w:rsidR="00C127B9" w:rsidRDefault="00C127B9" w:rsidP="00C127B9">
      <w:pPr>
        <w:pStyle w:val="ListNumber3"/>
      </w:pPr>
      <w:bookmarkStart w:id="8" w:name="SectionF4_9_5_ServiceMarkers"/>
      <w:r>
        <w:lastRenderedPageBreak/>
        <w:t>Service Markers</w:t>
      </w:r>
      <w:bookmarkEnd w:id="8"/>
    </w:p>
    <w:p w:rsidR="00355003" w:rsidRDefault="00C127B9" w:rsidP="00C127B9">
      <w:pPr>
        <w:pStyle w:val="Para3"/>
      </w:pPr>
      <w:r>
        <w:t xml:space="preserve">Subsurface services and ducting must be indicated with markers at turning points and at suitable intervals on straight sections.  </w:t>
      </w:r>
      <w:r w:rsidRPr="00DE32C6">
        <w:rPr>
          <w:i/>
        </w:rPr>
        <w:t>See following detail of the service marker</w:t>
      </w:r>
      <w:r>
        <w:t>:</w:t>
      </w:r>
    </w:p>
    <w:p w:rsidR="00B86FB6" w:rsidRDefault="00B86FB6" w:rsidP="00C127B9">
      <w:pPr>
        <w:pStyle w:val="Para3"/>
      </w:pPr>
    </w:p>
    <w:p w:rsidR="00B86FB6" w:rsidRDefault="00B86FB6" w:rsidP="003B00C2">
      <w:pPr>
        <w:pStyle w:val="ListNumber"/>
        <w:sectPr w:rsidR="00B86FB6" w:rsidSect="00DD2A5E">
          <w:pgSz w:w="11906" w:h="16838" w:code="9"/>
          <w:pgMar w:top="1134" w:right="964" w:bottom="964" w:left="1134" w:header="794" w:footer="510" w:gutter="0"/>
          <w:cols w:space="708"/>
          <w:docGrid w:linePitch="360"/>
        </w:sectPr>
      </w:pPr>
    </w:p>
    <w:p w:rsidR="00240920" w:rsidRDefault="00240920" w:rsidP="00240920">
      <w:pPr>
        <w:pStyle w:val="Para2"/>
      </w:pPr>
      <w:r>
        <w:rPr>
          <w:noProof/>
          <w:lang w:val="en-ZA" w:eastAsia="en-ZA"/>
        </w:rPr>
        <w:lastRenderedPageBreak/>
        <w:drawing>
          <wp:anchor distT="0" distB="0" distL="114300" distR="114300" simplePos="0" relativeHeight="251660288" behindDoc="0" locked="0" layoutInCell="1" allowOverlap="1">
            <wp:simplePos x="0" y="0"/>
            <wp:positionH relativeFrom="column">
              <wp:posOffset>350520</wp:posOffset>
            </wp:positionH>
            <wp:positionV relativeFrom="paragraph">
              <wp:posOffset>255270</wp:posOffset>
            </wp:positionV>
            <wp:extent cx="5817870" cy="8229600"/>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5817870" cy="8229600"/>
                    </a:xfrm>
                    <a:prstGeom prst="rect">
                      <a:avLst/>
                    </a:prstGeom>
                    <a:noFill/>
                    <a:ln w="9525">
                      <a:noFill/>
                      <a:miter lim="800000"/>
                      <a:headEnd/>
                      <a:tailEnd/>
                    </a:ln>
                  </pic:spPr>
                </pic:pic>
              </a:graphicData>
            </a:graphic>
          </wp:anchor>
        </w:drawing>
      </w:r>
      <w:r>
        <w:t xml:space="preserve">Typical plan of Service Marker: </w:t>
      </w:r>
    </w:p>
    <w:p w:rsidR="00240920" w:rsidRDefault="00240920" w:rsidP="00240920">
      <w:pPr>
        <w:pStyle w:val="Para2"/>
        <w:sectPr w:rsidR="00240920" w:rsidSect="00DD2A5E">
          <w:pgSz w:w="11906" w:h="16838" w:code="9"/>
          <w:pgMar w:top="1134" w:right="964" w:bottom="964" w:left="1134" w:header="794" w:footer="510" w:gutter="0"/>
          <w:cols w:space="708"/>
          <w:docGrid w:linePitch="360"/>
        </w:sectPr>
      </w:pPr>
    </w:p>
    <w:p w:rsidR="003B00C2" w:rsidRDefault="003B00C2" w:rsidP="003B00C2">
      <w:pPr>
        <w:pStyle w:val="ListNumber"/>
      </w:pPr>
      <w:bookmarkStart w:id="9" w:name="_Toc298140513"/>
      <w:r>
        <w:lastRenderedPageBreak/>
        <w:t>ROADS AND PARKING AREAS</w:t>
      </w:r>
      <w:bookmarkEnd w:id="9"/>
    </w:p>
    <w:p w:rsidR="003B00C2" w:rsidRDefault="003B00C2" w:rsidP="003B00C2">
      <w:pPr>
        <w:pStyle w:val="ListNumber2"/>
      </w:pPr>
      <w:r>
        <w:t xml:space="preserve">Chapters 7 and 8 of </w:t>
      </w:r>
      <w:r>
        <w:rPr>
          <w:rFonts w:hint="eastAsia"/>
        </w:rPr>
        <w:t>“</w:t>
      </w:r>
      <w:r>
        <w:t>Guidelines for Human Settlement Planning and Design</w:t>
      </w:r>
      <w:r>
        <w:rPr>
          <w:rFonts w:hint="eastAsia"/>
        </w:rPr>
        <w:t>”</w:t>
      </w:r>
      <w:r>
        <w:t xml:space="preserve"> </w:t>
      </w:r>
      <w:r w:rsidR="00C014CF">
        <w:t xml:space="preserve">used in conjunction with the manufacturers specification and catalogue, </w:t>
      </w:r>
      <w:r>
        <w:t>should be used as basis for the design of roads, streets, accesses and parking areas.</w:t>
      </w:r>
    </w:p>
    <w:p w:rsidR="003B00C2" w:rsidRDefault="003B00C2" w:rsidP="003B00C2">
      <w:pPr>
        <w:pStyle w:val="Para2"/>
      </w:pPr>
      <w:r>
        <w:t xml:space="preserve">In order to maximize employment opportunities and comply with the aims and objectives of the EPWP cognisance must be taken of the CIDB Practice Manual </w:t>
      </w:r>
      <w:r>
        <w:rPr>
          <w:rFonts w:hint="eastAsia"/>
        </w:rPr>
        <w:t>“</w:t>
      </w:r>
      <w:r>
        <w:t>Implementing Employment Intensive Road Works</w:t>
      </w:r>
      <w:r>
        <w:rPr>
          <w:rFonts w:hint="eastAsia"/>
        </w:rPr>
        <w:t>”</w:t>
      </w:r>
      <w:r>
        <w:t xml:space="preserve"> in the selection of and design of the facility.</w:t>
      </w:r>
    </w:p>
    <w:p w:rsidR="003B00C2" w:rsidRDefault="003B00C2" w:rsidP="003B00C2">
      <w:pPr>
        <w:pStyle w:val="ListNumber2"/>
      </w:pPr>
      <w:r>
        <w:t>Appropriate values must be chosen for the following geometric design parameters, based on the proposed design speed for the road:</w:t>
      </w:r>
    </w:p>
    <w:p w:rsidR="003B00C2" w:rsidRDefault="003B00C2" w:rsidP="003B00C2">
      <w:pPr>
        <w:pStyle w:val="Bullets1-Paragraph"/>
      </w:pPr>
      <w:r>
        <w:t>Horizontal curvature</w:t>
      </w:r>
    </w:p>
    <w:p w:rsidR="003B00C2" w:rsidRDefault="003B00C2" w:rsidP="003B00C2">
      <w:pPr>
        <w:pStyle w:val="Bullets1-Paragraph"/>
      </w:pPr>
      <w:r>
        <w:t>Gradients</w:t>
      </w:r>
    </w:p>
    <w:p w:rsidR="003B00C2" w:rsidRDefault="003B00C2" w:rsidP="003B00C2">
      <w:pPr>
        <w:pStyle w:val="Bullets1-Paragraph"/>
      </w:pPr>
      <w:r>
        <w:t>Vertical curves</w:t>
      </w:r>
    </w:p>
    <w:p w:rsidR="003B00C2" w:rsidRDefault="003B00C2" w:rsidP="003B00C2">
      <w:pPr>
        <w:pStyle w:val="Bullets1-Paragraph"/>
      </w:pPr>
      <w:r>
        <w:t>Sight distances</w:t>
      </w:r>
    </w:p>
    <w:p w:rsidR="003B00C2" w:rsidRDefault="003B00C2" w:rsidP="003B00C2">
      <w:pPr>
        <w:pStyle w:val="Bullets1-Paragraph"/>
      </w:pPr>
      <w:r>
        <w:t>Design vehicle dimensions, determined by the type of facility being designed for</w:t>
      </w:r>
    </w:p>
    <w:p w:rsidR="003B00C2" w:rsidRDefault="003B00C2" w:rsidP="003B00C2">
      <w:pPr>
        <w:pStyle w:val="Bullets1-Paragraph"/>
      </w:pPr>
      <w:r>
        <w:t>Cross sectional element dimensions.</w:t>
      </w:r>
    </w:p>
    <w:p w:rsidR="003B00C2" w:rsidRDefault="003B00C2" w:rsidP="003B00C2">
      <w:pPr>
        <w:pStyle w:val="ListNumber2"/>
      </w:pPr>
      <w:r>
        <w:t xml:space="preserve">Special attention must be given to adequate surface drainage of parking areas.  A minimum gradient of 0.5% must be used to avoid </w:t>
      </w:r>
      <w:r w:rsidR="00E842B3">
        <w:t>pond</w:t>
      </w:r>
      <w:r w:rsidR="00C014CF">
        <w:t>ing</w:t>
      </w:r>
      <w:r>
        <w:t xml:space="preserve"> of water.</w:t>
      </w:r>
    </w:p>
    <w:p w:rsidR="003B00C2" w:rsidRDefault="003B00C2" w:rsidP="003B00C2">
      <w:pPr>
        <w:pStyle w:val="ListNumber2"/>
      </w:pPr>
      <w:r>
        <w:t>In areas/facilities with a high rate of pedestrians, care must be taken to avoid/minimize conflict points between vehicles and pedestrians.  Sidewalks and/or pedestrian walkways must be provided where required.</w:t>
      </w:r>
    </w:p>
    <w:p w:rsidR="003B00C2" w:rsidRDefault="003B00C2" w:rsidP="003B00C2">
      <w:pPr>
        <w:pStyle w:val="ListNumber2"/>
      </w:pPr>
      <w:r>
        <w:t>When choosing a pavement design for a road or parking area, the following must be taken into account:</w:t>
      </w:r>
    </w:p>
    <w:p w:rsidR="003B00C2" w:rsidRDefault="003B00C2" w:rsidP="003B00C2">
      <w:pPr>
        <w:pStyle w:val="Bullets1-Paragraph"/>
      </w:pPr>
      <w:r>
        <w:t>The design lifetime of the facility</w:t>
      </w:r>
    </w:p>
    <w:p w:rsidR="003B00C2" w:rsidRDefault="003B00C2" w:rsidP="003B00C2">
      <w:pPr>
        <w:pStyle w:val="Bullets1-Paragraph"/>
      </w:pPr>
      <w:r>
        <w:t>The estimated E80 axle loading over the design lifetime</w:t>
      </w:r>
    </w:p>
    <w:p w:rsidR="003B00C2" w:rsidRDefault="003B00C2" w:rsidP="003B00C2">
      <w:pPr>
        <w:pStyle w:val="Bullets1-Paragraph"/>
      </w:pPr>
      <w:r>
        <w:t>Available construction materials</w:t>
      </w:r>
    </w:p>
    <w:p w:rsidR="003B00C2" w:rsidRDefault="003B00C2" w:rsidP="003B00C2">
      <w:pPr>
        <w:pStyle w:val="Bullets1-Paragraph"/>
      </w:pPr>
      <w:r>
        <w:t>The macro-climatic region of South Africa in which the facility is to be constructed</w:t>
      </w:r>
    </w:p>
    <w:p w:rsidR="003B00C2" w:rsidRDefault="003B00C2" w:rsidP="003B00C2">
      <w:pPr>
        <w:pStyle w:val="Bullets1-Paragraph"/>
      </w:pPr>
      <w:r>
        <w:t>The prevention of water penetration through the pavement, especially in dolomite areas.</w:t>
      </w:r>
    </w:p>
    <w:p w:rsidR="003B00C2" w:rsidRDefault="003B00C2" w:rsidP="003B00C2">
      <w:pPr>
        <w:pStyle w:val="Bullets1-Paragraph"/>
      </w:pPr>
      <w:r>
        <w:t>The maintenance related to the type of pavement design</w:t>
      </w:r>
    </w:p>
    <w:p w:rsidR="003B00C2" w:rsidRDefault="003B00C2" w:rsidP="003B00C2">
      <w:pPr>
        <w:pStyle w:val="Bullets1-Paragraph"/>
      </w:pPr>
      <w:r>
        <w:t>Lifecycle cost of the pavement, taking into account both initial capital (construction cost) and maintenance costs over the lifetime of the pavement.</w:t>
      </w:r>
    </w:p>
    <w:p w:rsidR="003B00C2" w:rsidRDefault="003B00C2" w:rsidP="003B00C2">
      <w:pPr>
        <w:pStyle w:val="ListNumber2"/>
      </w:pPr>
      <w:r>
        <w:t>Concrete Paving</w:t>
      </w:r>
    </w:p>
    <w:p w:rsidR="003B00C2" w:rsidRDefault="003B00C2" w:rsidP="003B00C2">
      <w:pPr>
        <w:pStyle w:val="Para2"/>
      </w:pPr>
      <w:r>
        <w:t>Concrete surfacing should always be used where justified as result of traffic load, where oil and fuel leakage/spillage is likely to occur, e.g. parking areas, filling stations, where tight turning action by heavy vehicles would damage bituminous surfacing, etc.</w:t>
      </w:r>
    </w:p>
    <w:p w:rsidR="003B00C2" w:rsidRDefault="003B00C2" w:rsidP="003B00C2">
      <w:pPr>
        <w:pStyle w:val="Bullets1-Paragraph"/>
      </w:pPr>
      <w:r>
        <w:t>Where interlocking blocks are used, blocks with double interlock must be used for trafficked areas.</w:t>
      </w:r>
    </w:p>
    <w:p w:rsidR="003B00C2" w:rsidRDefault="003B00C2" w:rsidP="003B00C2">
      <w:pPr>
        <w:pStyle w:val="Bullets1-Paragraph"/>
      </w:pPr>
      <w:r>
        <w:t>Cast in-situ concrete pavements should be considered for areas extensively used by heavy vehicles, and evaluated in terms of future maintenance.</w:t>
      </w:r>
    </w:p>
    <w:p w:rsidR="003B00C2" w:rsidRDefault="003B00C2" w:rsidP="003B00C2">
      <w:pPr>
        <w:pStyle w:val="Bullets1-Paragraph"/>
      </w:pPr>
      <w:r>
        <w:t xml:space="preserve">Car/vehicle wash bays in dolomite areas must be designed to ensure proper waste water handling. </w:t>
      </w:r>
    </w:p>
    <w:p w:rsidR="00F8644B" w:rsidRDefault="00F8644B" w:rsidP="003B00C2">
      <w:pPr>
        <w:pStyle w:val="ListNumber2"/>
        <w:sectPr w:rsidR="00F8644B" w:rsidSect="00DD2A5E">
          <w:pgSz w:w="11906" w:h="16838" w:code="9"/>
          <w:pgMar w:top="1134" w:right="964" w:bottom="964" w:left="1134" w:header="794" w:footer="510" w:gutter="0"/>
          <w:cols w:space="708"/>
          <w:docGrid w:linePitch="360"/>
        </w:sectPr>
      </w:pPr>
    </w:p>
    <w:p w:rsidR="003B00C2" w:rsidRDefault="003B00C2" w:rsidP="003B00C2">
      <w:pPr>
        <w:pStyle w:val="ListNumber2"/>
      </w:pPr>
      <w:r>
        <w:lastRenderedPageBreak/>
        <w:t>Bituminous Surfacing</w:t>
      </w:r>
    </w:p>
    <w:p w:rsidR="003B00C2" w:rsidRDefault="003B00C2" w:rsidP="003B00C2">
      <w:pPr>
        <w:pStyle w:val="Bullets1-Paragraph"/>
      </w:pPr>
      <w:r>
        <w:t>A total lifecycle cost comparison is to be made to decide whether bituminous surfacing or concrete paving should be used.</w:t>
      </w:r>
    </w:p>
    <w:p w:rsidR="003B00C2" w:rsidRDefault="003B00C2" w:rsidP="003B00C2">
      <w:pPr>
        <w:pStyle w:val="Bullets1-Paragraph"/>
      </w:pPr>
      <w:r>
        <w:t>Where possible and for economic reasons, due consideration should be given to the lighter forms of surfacing such as single/double seals, etc.</w:t>
      </w:r>
    </w:p>
    <w:p w:rsidR="003B00C2" w:rsidRDefault="003B00C2" w:rsidP="003B00C2">
      <w:pPr>
        <w:pStyle w:val="ListNumber2"/>
      </w:pPr>
      <w:r>
        <w:t>Traffic Engineering</w:t>
      </w:r>
    </w:p>
    <w:p w:rsidR="003B00C2" w:rsidRDefault="003B00C2" w:rsidP="003B00C2">
      <w:pPr>
        <w:pStyle w:val="Para2"/>
      </w:pPr>
      <w:r>
        <w:t>Traffic engineering is seen as a specialist competency.</w:t>
      </w:r>
    </w:p>
    <w:p w:rsidR="003B00C2" w:rsidRDefault="003B00C2" w:rsidP="003B00C2">
      <w:pPr>
        <w:pStyle w:val="Para2"/>
      </w:pPr>
      <w:r>
        <w:t xml:space="preserve">Cognizance must be taken of </w:t>
      </w:r>
      <w:hyperlink r:id="rId20" w:anchor="SectionA15UseofSpecialists" w:history="1">
        <w:r w:rsidRPr="00874E85">
          <w:rPr>
            <w:rStyle w:val="Hyperlink"/>
          </w:rPr>
          <w:t>Section A.15</w:t>
        </w:r>
      </w:hyperlink>
      <w:r>
        <w:t xml:space="preserve"> regarding the appointment of specialists.</w:t>
      </w:r>
    </w:p>
    <w:p w:rsidR="003B00C2" w:rsidRDefault="003B00C2" w:rsidP="003B00C2">
      <w:pPr>
        <w:pStyle w:val="Para2"/>
      </w:pPr>
      <w:r>
        <w:t>A specialist traffic engineer must be appointed by the Consultant, with approval of the Departmental Project Manager, in cases where:</w:t>
      </w:r>
    </w:p>
    <w:p w:rsidR="003B00C2" w:rsidRDefault="003B00C2" w:rsidP="003B00C2">
      <w:pPr>
        <w:pStyle w:val="Bullets1-Paragraph"/>
      </w:pPr>
      <w:r>
        <w:t>The location of the project has a marked impact on the traffic flow to and from the site, generally applicable in urban and industrial areas</w:t>
      </w:r>
    </w:p>
    <w:p w:rsidR="003B00C2" w:rsidRDefault="003B00C2" w:rsidP="003B00C2">
      <w:pPr>
        <w:pStyle w:val="Bullets1-Paragraph"/>
      </w:pPr>
      <w:r>
        <w:t>The internal traffic flow on the site is impacted markedly by the project.</w:t>
      </w:r>
    </w:p>
    <w:p w:rsidR="003B00C2" w:rsidRDefault="003B00C2" w:rsidP="00066DC9">
      <w:pPr>
        <w:pStyle w:val="ListNumber"/>
      </w:pPr>
      <w:bookmarkStart w:id="10" w:name="_Toc298140514"/>
      <w:r>
        <w:t>WATER SUPPLY</w:t>
      </w:r>
      <w:bookmarkEnd w:id="10"/>
    </w:p>
    <w:p w:rsidR="003B00C2" w:rsidRDefault="003B00C2" w:rsidP="00066DC9">
      <w:pPr>
        <w:pStyle w:val="ListNumber2"/>
      </w:pPr>
      <w:r>
        <w:t xml:space="preserve">SANS 10252-1: 1993 </w:t>
      </w:r>
      <w:r>
        <w:rPr>
          <w:rFonts w:hint="eastAsia"/>
        </w:rPr>
        <w:t>“</w:t>
      </w:r>
      <w:r>
        <w:t>Part 1:  Water Supply Installations for Buildings</w:t>
      </w:r>
      <w:r>
        <w:rPr>
          <w:rFonts w:hint="eastAsia"/>
        </w:rPr>
        <w:t>”</w:t>
      </w:r>
      <w:r>
        <w:t xml:space="preserve"> must be used in the choice and design of a specific water supply system.  Cognisance should also be taken of Chapter 9 of </w:t>
      </w:r>
      <w:r>
        <w:rPr>
          <w:rFonts w:hint="eastAsia"/>
        </w:rPr>
        <w:t>“</w:t>
      </w:r>
      <w:r>
        <w:t>Guidelines for Human Settlement Planning and Design</w:t>
      </w:r>
      <w:r>
        <w:rPr>
          <w:rFonts w:hint="eastAsia"/>
        </w:rPr>
        <w:t>”</w:t>
      </w:r>
      <w:r>
        <w:t>.</w:t>
      </w:r>
    </w:p>
    <w:p w:rsidR="003B00C2" w:rsidRDefault="003B00C2" w:rsidP="00066DC9">
      <w:pPr>
        <w:pStyle w:val="ListNumber2"/>
      </w:pPr>
      <w:r>
        <w:t xml:space="preserve">The potential sources of water, the sustainability thereof and the water quality must first be assessed when planning a water supply scheme for the project.  Careful consideration should be taken of water pressure sensitivity of the water </w:t>
      </w:r>
      <w:r w:rsidR="00302798">
        <w:t xml:space="preserve">supply measured over at least a </w:t>
      </w:r>
      <w:r>
        <w:t>48-hour normal workday cycle.</w:t>
      </w:r>
    </w:p>
    <w:p w:rsidR="003B00C2" w:rsidRDefault="003B00C2" w:rsidP="00066DC9">
      <w:pPr>
        <w:pStyle w:val="ListNumber2"/>
      </w:pPr>
      <w:r>
        <w:t>The most general water sources are potable water from bulk supply pipelines and boreholes.  The preferred water supply system shall be water of a suitable quality provided by the Local Authority.  The selected method, which is however selected, shall be thoroughly investigated and the financial feasibility thereof motivated at the report stage.</w:t>
      </w:r>
    </w:p>
    <w:p w:rsidR="003B00C2" w:rsidRDefault="003B00C2" w:rsidP="00066DC9">
      <w:pPr>
        <w:pStyle w:val="ListNumber2"/>
      </w:pPr>
      <w:r>
        <w:t>The following basic principles must be adhered to when developing a water supply scheme from boreholes:</w:t>
      </w:r>
    </w:p>
    <w:p w:rsidR="003B00C2" w:rsidRDefault="003B00C2" w:rsidP="00066DC9">
      <w:pPr>
        <w:pStyle w:val="Bullets1-Paragraph"/>
      </w:pPr>
      <w:r>
        <w:t>The presence, quantity and depth of underground water cannot normally be predicted beforehand with a high degree of accuracy</w:t>
      </w:r>
    </w:p>
    <w:p w:rsidR="003B00C2" w:rsidRDefault="003B00C2" w:rsidP="00066DC9">
      <w:pPr>
        <w:pStyle w:val="Bullets1-Paragraph"/>
      </w:pPr>
      <w:r>
        <w:t>A reputed specialist, prior to any final design criteria being established, should investigate existing boreholes and wells in the area</w:t>
      </w:r>
    </w:p>
    <w:p w:rsidR="003B00C2" w:rsidRDefault="003B00C2" w:rsidP="00066DC9">
      <w:pPr>
        <w:pStyle w:val="Bullets1-Paragraph"/>
      </w:pPr>
      <w:r>
        <w:t xml:space="preserve">If needed, the Consultant will appoint a specialist to determine the most likely sites, subject to the approval of the Department, as described in </w:t>
      </w:r>
      <w:hyperlink r:id="rId21" w:anchor="SectionA15_Use_of_Specialists" w:history="1">
        <w:r w:rsidRPr="00CA5EF4">
          <w:rPr>
            <w:rStyle w:val="Hyperlink"/>
          </w:rPr>
          <w:t>Section A.15</w:t>
        </w:r>
      </w:hyperlink>
    </w:p>
    <w:p w:rsidR="003B00C2" w:rsidRDefault="003B00C2" w:rsidP="00066DC9">
      <w:pPr>
        <w:pStyle w:val="Bullets1-Paragraph"/>
      </w:pPr>
      <w:r>
        <w:t>When reverting to boreholes, a reputable driller registered with the Borehole Water Association of South Africa should be used</w:t>
      </w:r>
    </w:p>
    <w:p w:rsidR="003B00C2" w:rsidRPr="00EF77FC" w:rsidRDefault="003B00C2" w:rsidP="00066DC9">
      <w:pPr>
        <w:pStyle w:val="Bullets1-Paragraph"/>
      </w:pPr>
      <w:r>
        <w:t xml:space="preserve">Siting and drilling of boreholes should be executed in terms of the relevant </w:t>
      </w:r>
      <w:r w:rsidRPr="00EF77FC">
        <w:t>sections of SANS 10299 Parts 0 to 9 and the Association</w:t>
      </w:r>
      <w:r w:rsidRPr="00EF77FC">
        <w:rPr>
          <w:rFonts w:hint="eastAsia"/>
        </w:rPr>
        <w:t>’</w:t>
      </w:r>
      <w:r w:rsidRPr="00EF77FC">
        <w:t xml:space="preserve">s publication </w:t>
      </w:r>
      <w:r w:rsidRPr="00EF77FC">
        <w:rPr>
          <w:rFonts w:hint="eastAsia"/>
        </w:rPr>
        <w:t>“</w:t>
      </w:r>
      <w:r w:rsidRPr="00EF77FC">
        <w:t>Minimum Code of Practice for Borehole Consumption and Pump Installation</w:t>
      </w:r>
      <w:r w:rsidRPr="00EF77FC">
        <w:rPr>
          <w:rFonts w:hint="eastAsia"/>
        </w:rPr>
        <w:t>”</w:t>
      </w:r>
    </w:p>
    <w:p w:rsidR="003B00C2" w:rsidRDefault="003B00C2" w:rsidP="00066DC9">
      <w:pPr>
        <w:pStyle w:val="Bullets1-Paragraph"/>
      </w:pPr>
      <w:r>
        <w:t xml:space="preserve">Ground water should always and in all cases be analysed in order to determine its fitness for human consumption, manufacture of concrete as well as possible effects on pipe systems, etc.  </w:t>
      </w:r>
      <w:r w:rsidRPr="00302798">
        <w:rPr>
          <w:i/>
        </w:rPr>
        <w:t xml:space="preserve">Please consult the publication </w:t>
      </w:r>
      <w:r w:rsidRPr="00302798">
        <w:rPr>
          <w:rFonts w:hint="eastAsia"/>
          <w:i/>
        </w:rPr>
        <w:t>“</w:t>
      </w:r>
      <w:r w:rsidRPr="00302798">
        <w:rPr>
          <w:i/>
        </w:rPr>
        <w:t>Quality of Domestic Water Supplies, Vol. 1:  Assessment Guide (1998)</w:t>
      </w:r>
      <w:r w:rsidRPr="00302798">
        <w:rPr>
          <w:rFonts w:hint="eastAsia"/>
          <w:i/>
        </w:rPr>
        <w:t>”</w:t>
      </w:r>
      <w:r w:rsidRPr="00302798">
        <w:rPr>
          <w:i/>
        </w:rPr>
        <w:t xml:space="preserve"> by the Water Research Commission</w:t>
      </w:r>
      <w:r>
        <w:t xml:space="preserve"> in this regard</w:t>
      </w:r>
    </w:p>
    <w:p w:rsidR="003B00C2" w:rsidRDefault="00066DC9" w:rsidP="00066DC9">
      <w:pPr>
        <w:pStyle w:val="Bullets1-Paragraph"/>
      </w:pPr>
      <w:r>
        <w:lastRenderedPageBreak/>
        <w:t>T</w:t>
      </w:r>
      <w:r w:rsidR="003B00C2">
        <w:t>he determination of borehole yield should be done in accordance with the Guidelines</w:t>
      </w:r>
    </w:p>
    <w:p w:rsidR="003B00C2" w:rsidRDefault="003B00C2" w:rsidP="00066DC9">
      <w:pPr>
        <w:pStyle w:val="Bullets1-Paragraph"/>
      </w:pPr>
      <w:r>
        <w:t>The supply of an Operation and Maintenance Manual is mandatory and shall be forwarded to the Department as a draft with the preliminary design report and drawings, and in final format one month before commissioning of the system.</w:t>
      </w:r>
    </w:p>
    <w:p w:rsidR="003B00C2" w:rsidRDefault="003B00C2" w:rsidP="00066DC9">
      <w:pPr>
        <w:pStyle w:val="Bullets1-Paragraph"/>
      </w:pPr>
      <w:r>
        <w:t>A new set of boreholes has to be licensed by the Department of Water Affairs for use by the Client/User Department.  The Civil Engineer must facilitate the application procedure.</w:t>
      </w:r>
    </w:p>
    <w:p w:rsidR="003B00C2" w:rsidRDefault="003B00C2" w:rsidP="00066DC9">
      <w:pPr>
        <w:pStyle w:val="ListNumber2"/>
      </w:pPr>
      <w:r>
        <w:t>Where applicable the consulting civil engineer will base the design of the on-site water treatment works on the Department</w:t>
      </w:r>
      <w:r>
        <w:rPr>
          <w:rFonts w:hint="eastAsia"/>
        </w:rPr>
        <w:t>’</w:t>
      </w:r>
      <w:r>
        <w:t>s manual for small treatment works.</w:t>
      </w:r>
    </w:p>
    <w:p w:rsidR="003B00C2" w:rsidRDefault="003B00C2" w:rsidP="00066DC9">
      <w:pPr>
        <w:pStyle w:val="Para2"/>
      </w:pPr>
      <w:r>
        <w:t>The onus is on the consulting civil engineer to ensure that:</w:t>
      </w:r>
    </w:p>
    <w:p w:rsidR="003B00C2" w:rsidRDefault="00066DC9" w:rsidP="00066DC9">
      <w:pPr>
        <w:pStyle w:val="Bullets1-Paragraph"/>
      </w:pPr>
      <w:r>
        <w:t>T</w:t>
      </w:r>
      <w:r w:rsidR="003B00C2">
        <w:t>he process he chooses for the design of the works is capable of treating the raw water to the required standards for potable water</w:t>
      </w:r>
    </w:p>
    <w:p w:rsidR="003B00C2" w:rsidRDefault="003B00C2" w:rsidP="00066DC9">
      <w:pPr>
        <w:pStyle w:val="Bullets1-Paragraph"/>
      </w:pPr>
      <w:r>
        <w:t>He chooses the most economical process for the treatment of the raw water.  Wherever feasible, use should be made of gravity flow of the water through the works to eliminate the need for pumping</w:t>
      </w:r>
    </w:p>
    <w:p w:rsidR="003B00C2" w:rsidRDefault="003B00C2" w:rsidP="00066DC9">
      <w:pPr>
        <w:pStyle w:val="Bullets1-Paragraph"/>
      </w:pPr>
      <w:r>
        <w:t>The process is such that the day to day operation of the plant can be handled by operators with a low skill level</w:t>
      </w:r>
    </w:p>
    <w:p w:rsidR="003B00C2" w:rsidRDefault="003B00C2" w:rsidP="00066DC9">
      <w:pPr>
        <w:pStyle w:val="Bullets1-Paragraph"/>
      </w:pPr>
      <w:r>
        <w:t>The location of the works and the individual units within the works are such as to ensure the most economical operation of the plant.</w:t>
      </w:r>
    </w:p>
    <w:p w:rsidR="003B00C2" w:rsidRDefault="003B00C2" w:rsidP="00066DC9">
      <w:pPr>
        <w:pStyle w:val="ListNumber2"/>
      </w:pPr>
      <w:r>
        <w:t xml:space="preserve">Requirements regarding water storage on site must be in accordance with the Departmental Guidelines </w:t>
      </w:r>
      <w:r>
        <w:rPr>
          <w:rFonts w:hint="eastAsia"/>
        </w:rPr>
        <w:t>“</w:t>
      </w:r>
      <w:r w:rsidR="00560DAB">
        <w:t>PW</w:t>
      </w:r>
      <w:r>
        <w:t xml:space="preserve">345 </w:t>
      </w:r>
      <w:r>
        <w:rPr>
          <w:rFonts w:hint="eastAsia"/>
        </w:rPr>
        <w:t>–</w:t>
      </w:r>
      <w:r>
        <w:t xml:space="preserve"> Standard Specification for Domestic and Fire Water Storage and Fire Water Supply for Public Buildings</w:t>
      </w:r>
      <w:r>
        <w:rPr>
          <w:rFonts w:hint="eastAsia"/>
        </w:rPr>
        <w:t>”</w:t>
      </w:r>
      <w:r>
        <w:t>, and will be discussed with the Project Manager.  The purpose of storing water is to meet pressure balancing requirements and to cater for emergencies, e.g. fire fighting, planned shutdowns and forced containment of imprisoned people, etc.</w:t>
      </w:r>
    </w:p>
    <w:p w:rsidR="003B00C2" w:rsidRDefault="003B00C2" w:rsidP="00066DC9">
      <w:pPr>
        <w:pStyle w:val="ListNumber2"/>
      </w:pPr>
      <w:r>
        <w:t>Cognisance must be taken of pressure requirements, annual average daily flow, peak flows and summer peak flows as described in the Guidelines, in order to design water supply systems (</w:t>
      </w:r>
      <w:r w:rsidRPr="00302798">
        <w:rPr>
          <w:i/>
        </w:rPr>
        <w:t>see also SANS 4427</w:t>
      </w:r>
      <w:r>
        <w:t xml:space="preserve">).  A realistic factor shall be applied to take into account the deterioration of flow due to the internal corrosion of the pipe work in the supply network.  A factor after </w:t>
      </w:r>
      <w:r w:rsidR="00302798">
        <w:t>fifty (</w:t>
      </w:r>
      <w:r>
        <w:t>50</w:t>
      </w:r>
      <w:r w:rsidR="00302798">
        <w:t>)</w:t>
      </w:r>
      <w:r>
        <w:t xml:space="preserve"> years of usage should be adopted.</w:t>
      </w:r>
    </w:p>
    <w:p w:rsidR="003B00C2" w:rsidRDefault="003B00C2" w:rsidP="00066DC9">
      <w:pPr>
        <w:pStyle w:val="ListNumber2"/>
      </w:pPr>
      <w:r>
        <w:t>Pipe Materials</w:t>
      </w:r>
    </w:p>
    <w:p w:rsidR="003B00C2" w:rsidRDefault="003B00C2" w:rsidP="00066DC9">
      <w:pPr>
        <w:pStyle w:val="Para2"/>
      </w:pPr>
      <w:r>
        <w:t xml:space="preserve">The most commonly used pipes are mild steel pipes to SANS 62 galvanised to </w:t>
      </w:r>
      <w:r w:rsidR="00B706E6">
        <w:br/>
      </w:r>
      <w:r>
        <w:t xml:space="preserve">SANS 32:1997 for above ground applications </w:t>
      </w:r>
      <w:r>
        <w:rPr>
          <w:rFonts w:hint="eastAsia"/>
        </w:rPr>
        <w:t>–</w:t>
      </w:r>
      <w:r>
        <w:t xml:space="preserve"> the quality shall be monitored to ensure best quality.  The other available materials are the plastics, which include </w:t>
      </w:r>
      <w:proofErr w:type="spellStart"/>
      <w:r>
        <w:t>unplasticised</w:t>
      </w:r>
      <w:proofErr w:type="spellEnd"/>
      <w:r>
        <w:t xml:space="preserve"> polyvinyl chloride (</w:t>
      </w:r>
      <w:proofErr w:type="spellStart"/>
      <w:r>
        <w:t>uPVC</w:t>
      </w:r>
      <w:proofErr w:type="spellEnd"/>
      <w:r>
        <w:t>), modified polyvinyl chloride (</w:t>
      </w:r>
      <w:proofErr w:type="spellStart"/>
      <w:r>
        <w:t>mPVC</w:t>
      </w:r>
      <w:proofErr w:type="spellEnd"/>
      <w:r>
        <w:t>), high-density polyethylene (HDPE) and polypropylene (PP) all in accordance with the relevant SANS (SABS) specifications.</w:t>
      </w:r>
    </w:p>
    <w:p w:rsidR="003B00C2" w:rsidRDefault="003B00C2" w:rsidP="00066DC9">
      <w:pPr>
        <w:pStyle w:val="Para2"/>
      </w:pPr>
      <w:r>
        <w:t>During the design of water supply pipelines, special attention will be given to the corrosive nature and other properties of the in-situ soil as well as their effect on pipeline materials that are proposed for the project.  Soil tests will be carried out to determine the effect of the soil</w:t>
      </w:r>
      <w:r w:rsidR="00066DC9">
        <w:t xml:space="preserve"> </w:t>
      </w:r>
      <w:r>
        <w:t>properties on the pipe materials proposed.  Galvanic action as a result of pipe/acidic soil or electrical interaction will be investigated.  Appropriate measures in order to prevent this phenomenon will also be investigated and reported on.</w:t>
      </w:r>
    </w:p>
    <w:p w:rsidR="003B00C2" w:rsidRDefault="003B00C2" w:rsidP="00066DC9">
      <w:pPr>
        <w:pStyle w:val="Para2"/>
      </w:pPr>
      <w:r>
        <w:t>The Department and the local authority will, at the report stage, agree on the materials to be used.</w:t>
      </w:r>
    </w:p>
    <w:p w:rsidR="003B00C2" w:rsidRDefault="003B00C2" w:rsidP="00066DC9">
      <w:pPr>
        <w:pStyle w:val="Para2"/>
      </w:pPr>
      <w:r>
        <w:t xml:space="preserve">Depending on economy, water quality and site conditions, the Department prefer the use of </w:t>
      </w:r>
      <w:proofErr w:type="spellStart"/>
      <w:r>
        <w:t>uPVC</w:t>
      </w:r>
      <w:proofErr w:type="spellEnd"/>
      <w:r>
        <w:t xml:space="preserve"> pipes in the event when pipes are larger than 75mm diameter and HDPE when pipes are equal to and/or smaller than 75mm diameter.</w:t>
      </w:r>
    </w:p>
    <w:p w:rsidR="003B00C2" w:rsidRDefault="003B00C2" w:rsidP="00066DC9">
      <w:pPr>
        <w:pStyle w:val="Para2"/>
      </w:pPr>
      <w:r>
        <w:lastRenderedPageBreak/>
        <w:t>Only HDPE pipes may be used underground in dolomite areas, unless specifically approved otherwise by the Department.</w:t>
      </w:r>
    </w:p>
    <w:p w:rsidR="003B00C2" w:rsidRDefault="003B00C2" w:rsidP="00066DC9">
      <w:pPr>
        <w:pStyle w:val="Para2"/>
      </w:pPr>
      <w:r>
        <w:t>Internal burrs of welded pipes shall be removed on completion of the welding or limited in height where approved by the Department.</w:t>
      </w:r>
    </w:p>
    <w:p w:rsidR="003B00C2" w:rsidRDefault="003B00C2" w:rsidP="00066DC9">
      <w:pPr>
        <w:pStyle w:val="Para2"/>
      </w:pPr>
      <w:r>
        <w:t>The use of resilient seal valves is preferred.  Valves must be closing clockwise.  The positions of air and scour valves shall be accurately determined during the detail design of the pipe system.</w:t>
      </w:r>
    </w:p>
    <w:p w:rsidR="003B00C2" w:rsidRDefault="003B00C2" w:rsidP="00066DC9">
      <w:pPr>
        <w:pStyle w:val="Para2"/>
      </w:pPr>
      <w:r>
        <w:t>All necessary tools to open valves and manhole covers shall be supplied as part of the Contract.  A minimum of two</w:t>
      </w:r>
      <w:r w:rsidR="00EF77FC">
        <w:t xml:space="preserve"> (2) </w:t>
      </w:r>
      <w:r>
        <w:t xml:space="preserve"> tools for each application is required.</w:t>
      </w:r>
    </w:p>
    <w:p w:rsidR="003B00C2" w:rsidRDefault="003B00C2" w:rsidP="00066DC9">
      <w:pPr>
        <w:pStyle w:val="ListNumber2"/>
      </w:pPr>
      <w:r>
        <w:t>Fire requirements and Hydrants</w:t>
      </w:r>
    </w:p>
    <w:p w:rsidR="003B00C2" w:rsidRDefault="003B00C2" w:rsidP="00066DC9">
      <w:pPr>
        <w:pStyle w:val="Para2"/>
      </w:pPr>
      <w:r>
        <w:t>Please note that the consulting civil engineer is obliged to employ the services of a specialist consultant to assist in the design of the fire water services in case of major projects and only after consultation with the Departmental Project Manager.</w:t>
      </w:r>
    </w:p>
    <w:p w:rsidR="003B00C2" w:rsidRDefault="003B00C2" w:rsidP="00066DC9">
      <w:pPr>
        <w:pStyle w:val="Para2"/>
      </w:pPr>
      <w:r>
        <w:t xml:space="preserve">Cognisance must be taken of the most recent Departmental publications regarding fire security, i.e. </w:t>
      </w:r>
      <w:r>
        <w:rPr>
          <w:rFonts w:hint="eastAsia"/>
        </w:rPr>
        <w:t>“</w:t>
      </w:r>
      <w:r>
        <w:t>Standard Technical Specification for a Pump Installation for Automatic Sprinkler Fire Extinguishing System</w:t>
      </w:r>
      <w:r>
        <w:rPr>
          <w:rFonts w:hint="eastAsia"/>
        </w:rPr>
        <w:t>”</w:t>
      </w:r>
      <w:r>
        <w:t xml:space="preserve">, </w:t>
      </w:r>
      <w:r>
        <w:rPr>
          <w:rFonts w:hint="eastAsia"/>
        </w:rPr>
        <w:t>“</w:t>
      </w:r>
      <w:r>
        <w:t>Schematic Diagram for a Fire Pump Installation</w:t>
      </w:r>
      <w:r>
        <w:rPr>
          <w:rFonts w:hint="eastAsia"/>
        </w:rPr>
        <w:t>”</w:t>
      </w:r>
      <w:r>
        <w:t xml:space="preserve">, as well as </w:t>
      </w:r>
      <w:r>
        <w:rPr>
          <w:rFonts w:hint="eastAsia"/>
        </w:rPr>
        <w:t>“</w:t>
      </w:r>
      <w:r>
        <w:t>Guidelines for Human Settlement Planning and Design, SANS 10090 and SANS 10400.</w:t>
      </w:r>
    </w:p>
    <w:p w:rsidR="003B00C2" w:rsidRDefault="003B00C2" w:rsidP="00066DC9">
      <w:pPr>
        <w:pStyle w:val="Para2"/>
      </w:pPr>
      <w:r>
        <w:t xml:space="preserve">The fire requirements as set out in the Departmental Guidelines </w:t>
      </w:r>
      <w:r>
        <w:rPr>
          <w:rFonts w:hint="eastAsia"/>
        </w:rPr>
        <w:t>“</w:t>
      </w:r>
      <w:r>
        <w:t xml:space="preserve">PW345 </w:t>
      </w:r>
      <w:r>
        <w:rPr>
          <w:rFonts w:hint="eastAsia"/>
        </w:rPr>
        <w:t>–</w:t>
      </w:r>
      <w:r>
        <w:t xml:space="preserve"> Standard Specification for Domestic and Fire Water Storage and Fire Water Supply for Public Buildings</w:t>
      </w:r>
      <w:r>
        <w:rPr>
          <w:rFonts w:hint="eastAsia"/>
        </w:rPr>
        <w:t>”</w:t>
      </w:r>
      <w:r>
        <w:t xml:space="preserve"> are usually the overriding criteria for the flow requirements in the design of a water distribution pipe network and SANS 10252-1 or SANS 10400 for hydrants and hose reels at buildings.  Requirements depend on the risk category and standards have been set on the basis of a minimum flow for a given period (a) from a single hydrant and (b) from a group of hydrants within a given area.</w:t>
      </w:r>
    </w:p>
    <w:p w:rsidR="003B00C2" w:rsidRDefault="003B00C2" w:rsidP="00066DC9">
      <w:pPr>
        <w:pStyle w:val="Para2"/>
      </w:pPr>
      <w:r>
        <w:t xml:space="preserve">Table 1 in Part A, </w:t>
      </w:r>
      <w:r>
        <w:rPr>
          <w:rFonts w:hint="eastAsia"/>
        </w:rPr>
        <w:t>“</w:t>
      </w:r>
      <w:r>
        <w:t>Administration</w:t>
      </w:r>
      <w:r>
        <w:rPr>
          <w:rFonts w:hint="eastAsia"/>
        </w:rPr>
        <w:t>”</w:t>
      </w:r>
      <w:r>
        <w:t xml:space="preserve">, of SANS 10400 classifies buildings according to their occupancy and from the tables in Part T, </w:t>
      </w:r>
      <w:r>
        <w:rPr>
          <w:rFonts w:hint="eastAsia"/>
        </w:rPr>
        <w:t>“</w:t>
      </w:r>
      <w:r>
        <w:t>Fire Protection</w:t>
      </w:r>
      <w:r>
        <w:rPr>
          <w:rFonts w:hint="eastAsia"/>
        </w:rPr>
        <w:t>”</w:t>
      </w:r>
      <w:r>
        <w:t xml:space="preserve">, the risk category for each occupancy class can be deduced.  Part W, </w:t>
      </w:r>
      <w:r>
        <w:rPr>
          <w:rFonts w:hint="eastAsia"/>
        </w:rPr>
        <w:t>“</w:t>
      </w:r>
      <w:r>
        <w:t>Fire Installation</w:t>
      </w:r>
      <w:r>
        <w:rPr>
          <w:rFonts w:hint="eastAsia"/>
        </w:rPr>
        <w:t>”</w:t>
      </w:r>
      <w:r>
        <w:t>, provides the guidelines regarding provision of water for fire fighting purposes.</w:t>
      </w:r>
    </w:p>
    <w:p w:rsidR="003B00C2" w:rsidRDefault="003B00C2" w:rsidP="00066DC9">
      <w:pPr>
        <w:pStyle w:val="Para2"/>
      </w:pPr>
      <w:r>
        <w:t>It is also important to obtain local fire regulations and requirements as well as to determine the ability (booster pumps, etc.) of the appropriate local authority to assist with fire activities. As far as possible, these parameters must be included and reported on in the fire design of the water distribution system.</w:t>
      </w:r>
    </w:p>
    <w:p w:rsidR="003B00C2" w:rsidRDefault="003B00C2" w:rsidP="00066DC9">
      <w:pPr>
        <w:pStyle w:val="Para2"/>
      </w:pPr>
      <w:r>
        <w:t>The capacity and ability of the Local Authority to assist in fire fighting activities must be ascertained and reported on.</w:t>
      </w:r>
    </w:p>
    <w:p w:rsidR="003B00C2" w:rsidRDefault="003B00C2" w:rsidP="00B21E05">
      <w:pPr>
        <w:pStyle w:val="Para2"/>
      </w:pPr>
      <w:r>
        <w:t>Where possible, hydrants should only be installed on pipes 75mm in diameter or larger.  Hydrants must be constructed in accordance with the details provided in the Department</w:t>
      </w:r>
      <w:r>
        <w:rPr>
          <w:rFonts w:hint="eastAsia"/>
        </w:rPr>
        <w:t>’</w:t>
      </w:r>
      <w:r>
        <w:t>s standard drawings.</w:t>
      </w:r>
    </w:p>
    <w:p w:rsidR="003B00C2" w:rsidRDefault="003B00C2" w:rsidP="00B21E05">
      <w:pPr>
        <w:pStyle w:val="Para2"/>
      </w:pPr>
      <w:r>
        <w:t xml:space="preserve">The material used for water and fire mains must be specified to be at least class 9 </w:t>
      </w:r>
      <w:proofErr w:type="spellStart"/>
      <w:r>
        <w:t>uPVC</w:t>
      </w:r>
      <w:proofErr w:type="spellEnd"/>
      <w:r>
        <w:t xml:space="preserve"> according to SANS 966 or class 10 HDPE to SANS 4427-5:2008/ISO 4427-5 2007.</w:t>
      </w:r>
    </w:p>
    <w:p w:rsidR="003B00C2" w:rsidRDefault="003B00C2" w:rsidP="00B21E05">
      <w:pPr>
        <w:pStyle w:val="Para2"/>
      </w:pPr>
      <w:r>
        <w:t>Internal burrs of welded pipes shall be removed on completion of the welding or limited in height where approved by the Department.</w:t>
      </w:r>
    </w:p>
    <w:p w:rsidR="00C127B9" w:rsidRPr="00FC34FC" w:rsidRDefault="003B00C2" w:rsidP="00B21E05">
      <w:pPr>
        <w:pStyle w:val="Para2"/>
        <w:rPr>
          <w:i/>
        </w:rPr>
      </w:pPr>
      <w:r w:rsidRPr="00FC34FC">
        <w:rPr>
          <w:i/>
        </w:rPr>
        <w:t>See following table for proposed fire water flows and pressures:</w:t>
      </w:r>
    </w:p>
    <w:p w:rsidR="00B706E6" w:rsidRPr="00FC34FC" w:rsidRDefault="00B706E6" w:rsidP="002E3CE9">
      <w:pPr>
        <w:pStyle w:val="TableHeading"/>
        <w:rPr>
          <w:i/>
          <w:lang w:val="en-US"/>
        </w:rPr>
        <w:sectPr w:rsidR="00B706E6" w:rsidRPr="00FC34FC" w:rsidSect="00DD2A5E">
          <w:pgSz w:w="11906" w:h="16838" w:code="9"/>
          <w:pgMar w:top="1134" w:right="964" w:bottom="964" w:left="1134" w:header="794" w:footer="510" w:gutter="0"/>
          <w:cols w:space="708"/>
          <w:docGrid w:linePitch="360"/>
        </w:sectPr>
      </w:pPr>
    </w:p>
    <w:tbl>
      <w:tblPr>
        <w:tblStyle w:val="TableGrid"/>
        <w:tblW w:w="9072" w:type="dxa"/>
        <w:tblInd w:w="81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992"/>
        <w:gridCol w:w="4820"/>
        <w:gridCol w:w="3260"/>
      </w:tblGrid>
      <w:tr w:rsidR="00AE6856" w:rsidRPr="00000D74" w:rsidTr="00240920">
        <w:trPr>
          <w:tblHeader/>
        </w:trPr>
        <w:tc>
          <w:tcPr>
            <w:tcW w:w="9072" w:type="dxa"/>
            <w:gridSpan w:val="3"/>
            <w:tcBorders>
              <w:bottom w:val="single" w:sz="12" w:space="0" w:color="000000" w:themeColor="text1"/>
            </w:tcBorders>
            <w:vAlign w:val="center"/>
          </w:tcPr>
          <w:p w:rsidR="00AE6856" w:rsidRPr="00000D74" w:rsidRDefault="00AE6856" w:rsidP="002E3CE9">
            <w:pPr>
              <w:pStyle w:val="TableHeading"/>
              <w:rPr>
                <w:lang w:val="en-US"/>
              </w:rPr>
            </w:pPr>
            <w:r>
              <w:rPr>
                <w:lang w:val="en-US"/>
              </w:rPr>
              <w:lastRenderedPageBreak/>
              <w:t>FIRE REQUIREMENTS AND HYDRANTS</w:t>
            </w:r>
          </w:p>
        </w:tc>
      </w:tr>
      <w:tr w:rsidR="00AE6856" w:rsidRPr="00AE6856" w:rsidTr="00240920">
        <w:tc>
          <w:tcPr>
            <w:tcW w:w="992" w:type="dxa"/>
            <w:tcBorders>
              <w:top w:val="single" w:sz="12" w:space="0" w:color="000000" w:themeColor="text1"/>
              <w:bottom w:val="single" w:sz="12" w:space="0" w:color="000000" w:themeColor="text1"/>
              <w:right w:val="single" w:sz="6" w:space="0" w:color="000000" w:themeColor="text1"/>
            </w:tcBorders>
            <w:vAlign w:val="center"/>
          </w:tcPr>
          <w:p w:rsidR="00AE6856" w:rsidRPr="00AE6856" w:rsidRDefault="00085C1D" w:rsidP="00634F34">
            <w:pPr>
              <w:pStyle w:val="TableHeading"/>
            </w:pPr>
            <w:r>
              <w:t>No.</w:t>
            </w:r>
          </w:p>
        </w:tc>
        <w:tc>
          <w:tcPr>
            <w:tcW w:w="4820"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rsidR="00AE6856" w:rsidRPr="00AE6856" w:rsidRDefault="00085C1D" w:rsidP="00085C1D">
            <w:pPr>
              <w:pStyle w:val="TableHeading"/>
            </w:pPr>
            <w:r>
              <w:t>Item</w:t>
            </w:r>
          </w:p>
        </w:tc>
        <w:tc>
          <w:tcPr>
            <w:tcW w:w="3260" w:type="dxa"/>
            <w:tcBorders>
              <w:top w:val="single" w:sz="12" w:space="0" w:color="000000" w:themeColor="text1"/>
              <w:left w:val="single" w:sz="6" w:space="0" w:color="000000" w:themeColor="text1"/>
              <w:bottom w:val="single" w:sz="12" w:space="0" w:color="000000" w:themeColor="text1"/>
            </w:tcBorders>
          </w:tcPr>
          <w:p w:rsidR="00AE6856" w:rsidRPr="00AE6856" w:rsidRDefault="00085C1D" w:rsidP="00085C1D">
            <w:pPr>
              <w:pStyle w:val="TableHeading"/>
            </w:pPr>
            <w:r>
              <w:t>Min Flow or Pressure</w:t>
            </w:r>
          </w:p>
        </w:tc>
      </w:tr>
      <w:tr w:rsidR="00085C1D" w:rsidRPr="00000D74" w:rsidTr="00240920">
        <w:tc>
          <w:tcPr>
            <w:tcW w:w="992" w:type="dxa"/>
            <w:tcBorders>
              <w:top w:val="single" w:sz="12" w:space="0" w:color="000000" w:themeColor="text1"/>
              <w:bottom w:val="single" w:sz="12" w:space="0" w:color="000000" w:themeColor="text1"/>
              <w:right w:val="single" w:sz="6" w:space="0" w:color="000000" w:themeColor="text1"/>
            </w:tcBorders>
            <w:vAlign w:val="center"/>
          </w:tcPr>
          <w:p w:rsidR="00085C1D" w:rsidRPr="0024237C" w:rsidRDefault="00085C1D" w:rsidP="00634F34">
            <w:pPr>
              <w:pStyle w:val="Table-Singlerowsentries"/>
              <w:ind w:left="0"/>
              <w:jc w:val="center"/>
              <w:rPr>
                <w:b/>
              </w:rPr>
            </w:pPr>
            <w:r w:rsidRPr="0024237C">
              <w:rPr>
                <w:b/>
              </w:rPr>
              <w:t>1.</w:t>
            </w:r>
          </w:p>
        </w:tc>
        <w:tc>
          <w:tcPr>
            <w:tcW w:w="8080" w:type="dxa"/>
            <w:gridSpan w:val="2"/>
            <w:tcBorders>
              <w:top w:val="single" w:sz="12" w:space="0" w:color="000000" w:themeColor="text1"/>
              <w:left w:val="single" w:sz="6" w:space="0" w:color="000000" w:themeColor="text1"/>
              <w:bottom w:val="single" w:sz="12" w:space="0" w:color="000000" w:themeColor="text1"/>
            </w:tcBorders>
          </w:tcPr>
          <w:p w:rsidR="00085C1D" w:rsidRPr="00085C1D" w:rsidRDefault="00085C1D" w:rsidP="002E3CE9">
            <w:pPr>
              <w:pStyle w:val="Table-Singlerowsentries"/>
            </w:pPr>
            <w:r>
              <w:t xml:space="preserve">For </w:t>
            </w:r>
            <w:r w:rsidRPr="0024237C">
              <w:rPr>
                <w:b/>
              </w:rPr>
              <w:t>Commercial Industries, Military Establishments and Prisons</w:t>
            </w:r>
          </w:p>
        </w:tc>
      </w:tr>
      <w:tr w:rsidR="00AE6856" w:rsidRPr="00000D74" w:rsidTr="00240920">
        <w:tc>
          <w:tcPr>
            <w:tcW w:w="992" w:type="dxa"/>
            <w:tcBorders>
              <w:top w:val="single" w:sz="12" w:space="0" w:color="000000" w:themeColor="text1"/>
            </w:tcBorders>
            <w:vAlign w:val="center"/>
          </w:tcPr>
          <w:p w:rsidR="00AE6856" w:rsidRPr="00000D74" w:rsidRDefault="00085C1D" w:rsidP="00634F34">
            <w:pPr>
              <w:pStyle w:val="Table-Singlerowsentries"/>
              <w:ind w:left="0"/>
              <w:jc w:val="center"/>
            </w:pPr>
            <w:r>
              <w:t>1.1</w:t>
            </w:r>
          </w:p>
        </w:tc>
        <w:tc>
          <w:tcPr>
            <w:tcW w:w="4820" w:type="dxa"/>
            <w:tcBorders>
              <w:top w:val="single" w:sz="12" w:space="0" w:color="000000" w:themeColor="text1"/>
            </w:tcBorders>
          </w:tcPr>
          <w:p w:rsidR="00AE6856" w:rsidRPr="00085C1D" w:rsidRDefault="00085C1D" w:rsidP="002E3CE9">
            <w:pPr>
              <w:pStyle w:val="Table-Singlerowsentries"/>
            </w:pPr>
            <w:r>
              <w:t>Min. Design Fire Flow with all hydrants within a 270m radius discharging simultaneously</w:t>
            </w:r>
          </w:p>
        </w:tc>
        <w:tc>
          <w:tcPr>
            <w:tcW w:w="3260" w:type="dxa"/>
            <w:tcBorders>
              <w:top w:val="single" w:sz="12" w:space="0" w:color="000000" w:themeColor="text1"/>
            </w:tcBorders>
            <w:vAlign w:val="center"/>
          </w:tcPr>
          <w:p w:rsidR="00AE6856" w:rsidRPr="002560BC" w:rsidRDefault="00085C1D" w:rsidP="00085C1D">
            <w:pPr>
              <w:pStyle w:val="Table-Singlerowsentries"/>
              <w:jc w:val="center"/>
            </w:pPr>
            <w:r w:rsidRPr="00A20C56">
              <w:t>100 ℓ/s</w:t>
            </w:r>
          </w:p>
        </w:tc>
      </w:tr>
      <w:tr w:rsidR="00085C1D" w:rsidRPr="00000D74" w:rsidTr="00240920">
        <w:tc>
          <w:tcPr>
            <w:tcW w:w="992" w:type="dxa"/>
            <w:vAlign w:val="center"/>
          </w:tcPr>
          <w:p w:rsidR="00085C1D" w:rsidRDefault="00085C1D" w:rsidP="00634F34">
            <w:pPr>
              <w:pStyle w:val="Table-Singlerowsentries"/>
              <w:ind w:left="0"/>
              <w:jc w:val="center"/>
            </w:pPr>
            <w:r>
              <w:t>1.2</w:t>
            </w:r>
          </w:p>
        </w:tc>
        <w:tc>
          <w:tcPr>
            <w:tcW w:w="4820" w:type="dxa"/>
          </w:tcPr>
          <w:p w:rsidR="00085C1D" w:rsidRDefault="00085C1D" w:rsidP="002E3CE9">
            <w:pPr>
              <w:pStyle w:val="Table-Singlerowsentries"/>
            </w:pPr>
            <w:r>
              <w:t>Duration of Fire Flow</w:t>
            </w:r>
          </w:p>
        </w:tc>
        <w:tc>
          <w:tcPr>
            <w:tcW w:w="3260" w:type="dxa"/>
            <w:vAlign w:val="center"/>
          </w:tcPr>
          <w:p w:rsidR="00085C1D" w:rsidRPr="00A20C56" w:rsidRDefault="00085C1D" w:rsidP="00085C1D">
            <w:pPr>
              <w:pStyle w:val="Table-Singlerowsentries"/>
              <w:jc w:val="center"/>
            </w:pPr>
            <w:r>
              <w:t>4 h</w:t>
            </w:r>
          </w:p>
        </w:tc>
      </w:tr>
      <w:tr w:rsidR="00085C1D" w:rsidRPr="00000D74" w:rsidTr="00240920">
        <w:tc>
          <w:tcPr>
            <w:tcW w:w="992" w:type="dxa"/>
            <w:vAlign w:val="center"/>
          </w:tcPr>
          <w:p w:rsidR="00085C1D" w:rsidRDefault="00085C1D" w:rsidP="00634F34">
            <w:pPr>
              <w:pStyle w:val="Table-Singlerowsentries"/>
              <w:ind w:left="0"/>
              <w:jc w:val="center"/>
            </w:pPr>
            <w:r>
              <w:t>1.3</w:t>
            </w:r>
          </w:p>
        </w:tc>
        <w:tc>
          <w:tcPr>
            <w:tcW w:w="4820" w:type="dxa"/>
          </w:tcPr>
          <w:p w:rsidR="00085C1D" w:rsidRDefault="00085C1D" w:rsidP="002E3CE9">
            <w:pPr>
              <w:pStyle w:val="Table-Singlerowsentries"/>
            </w:pPr>
            <w:r>
              <w:t>Minimum Hydrant Flow</w:t>
            </w:r>
          </w:p>
        </w:tc>
        <w:tc>
          <w:tcPr>
            <w:tcW w:w="3260" w:type="dxa"/>
            <w:vAlign w:val="center"/>
          </w:tcPr>
          <w:p w:rsidR="00085C1D" w:rsidRDefault="00085C1D" w:rsidP="00085C1D">
            <w:pPr>
              <w:pStyle w:val="Table-Singlerowsentries"/>
              <w:jc w:val="center"/>
            </w:pPr>
            <w:r>
              <w:t xml:space="preserve">25 </w:t>
            </w:r>
            <w:r w:rsidRPr="00A20C56">
              <w:t>ℓ/s</w:t>
            </w:r>
          </w:p>
        </w:tc>
      </w:tr>
      <w:tr w:rsidR="00085C1D" w:rsidRPr="00000D74" w:rsidTr="00240920">
        <w:tc>
          <w:tcPr>
            <w:tcW w:w="992" w:type="dxa"/>
            <w:vAlign w:val="center"/>
          </w:tcPr>
          <w:p w:rsidR="00085C1D" w:rsidRDefault="00085C1D" w:rsidP="00634F34">
            <w:pPr>
              <w:pStyle w:val="Table-Singlerowsentries"/>
              <w:ind w:left="0"/>
              <w:jc w:val="center"/>
            </w:pPr>
            <w:r>
              <w:t>1.4</w:t>
            </w:r>
          </w:p>
        </w:tc>
        <w:tc>
          <w:tcPr>
            <w:tcW w:w="4820" w:type="dxa"/>
          </w:tcPr>
          <w:p w:rsidR="00085C1D" w:rsidRDefault="00085C1D" w:rsidP="002E3CE9">
            <w:pPr>
              <w:pStyle w:val="Table-Singlerowsentries"/>
            </w:pPr>
            <w:r>
              <w:t>Minimum Hose Reel Flow</w:t>
            </w:r>
          </w:p>
        </w:tc>
        <w:tc>
          <w:tcPr>
            <w:tcW w:w="3260" w:type="dxa"/>
            <w:vAlign w:val="center"/>
          </w:tcPr>
          <w:p w:rsidR="00085C1D" w:rsidRDefault="00085C1D" w:rsidP="00085C1D">
            <w:pPr>
              <w:pStyle w:val="Table-Singlerowsentries"/>
              <w:jc w:val="center"/>
            </w:pPr>
            <w:r>
              <w:t xml:space="preserve">0,5 </w:t>
            </w:r>
            <w:r w:rsidRPr="00A20C56">
              <w:t>ℓ/s</w:t>
            </w:r>
          </w:p>
        </w:tc>
      </w:tr>
      <w:tr w:rsidR="00085C1D" w:rsidRPr="00000D74" w:rsidTr="00240920">
        <w:tc>
          <w:tcPr>
            <w:tcW w:w="992" w:type="dxa"/>
            <w:tcBorders>
              <w:bottom w:val="single" w:sz="12" w:space="0" w:color="000000" w:themeColor="text1"/>
            </w:tcBorders>
            <w:vAlign w:val="center"/>
          </w:tcPr>
          <w:p w:rsidR="00085C1D" w:rsidRDefault="00085C1D" w:rsidP="00634F34">
            <w:pPr>
              <w:pStyle w:val="Table-Singlerowsentries"/>
              <w:ind w:left="0"/>
              <w:jc w:val="center"/>
            </w:pPr>
            <w:r>
              <w:t>1.5</w:t>
            </w:r>
          </w:p>
        </w:tc>
        <w:tc>
          <w:tcPr>
            <w:tcW w:w="4820" w:type="dxa"/>
            <w:tcBorders>
              <w:bottom w:val="single" w:sz="12" w:space="0" w:color="000000" w:themeColor="text1"/>
            </w:tcBorders>
          </w:tcPr>
          <w:p w:rsidR="00085C1D" w:rsidRDefault="00085C1D" w:rsidP="002E3CE9">
            <w:pPr>
              <w:pStyle w:val="Table-Singlerowsentries"/>
            </w:pPr>
            <w:r>
              <w:t>Minimum residual  head with fire</w:t>
            </w:r>
          </w:p>
        </w:tc>
        <w:tc>
          <w:tcPr>
            <w:tcW w:w="3260" w:type="dxa"/>
            <w:tcBorders>
              <w:bottom w:val="single" w:sz="12" w:space="0" w:color="000000" w:themeColor="text1"/>
            </w:tcBorders>
            <w:vAlign w:val="center"/>
          </w:tcPr>
          <w:p w:rsidR="00085C1D" w:rsidRDefault="0024237C" w:rsidP="00085C1D">
            <w:pPr>
              <w:pStyle w:val="Table-Singlerowsentries"/>
              <w:jc w:val="center"/>
            </w:pPr>
            <w:r w:rsidRPr="0024237C">
              <w:t>Maximum building height +7m with a minimum of 15m (150kPa)</w:t>
            </w:r>
          </w:p>
        </w:tc>
      </w:tr>
      <w:tr w:rsidR="0024237C" w:rsidRPr="00000D74" w:rsidTr="00240920">
        <w:tc>
          <w:tcPr>
            <w:tcW w:w="992" w:type="dxa"/>
            <w:tcBorders>
              <w:top w:val="single" w:sz="12" w:space="0" w:color="000000" w:themeColor="text1"/>
              <w:bottom w:val="single" w:sz="12" w:space="0" w:color="000000" w:themeColor="text1"/>
              <w:right w:val="single" w:sz="6" w:space="0" w:color="000000" w:themeColor="text1"/>
            </w:tcBorders>
            <w:vAlign w:val="center"/>
          </w:tcPr>
          <w:p w:rsidR="0024237C" w:rsidRPr="0024237C" w:rsidRDefault="0024237C" w:rsidP="00634F34">
            <w:pPr>
              <w:pStyle w:val="Table-Singlerowsentries"/>
              <w:ind w:left="0"/>
              <w:jc w:val="center"/>
              <w:rPr>
                <w:b/>
              </w:rPr>
            </w:pPr>
            <w:r w:rsidRPr="0024237C">
              <w:rPr>
                <w:b/>
              </w:rPr>
              <w:t>2.</w:t>
            </w:r>
          </w:p>
        </w:tc>
        <w:tc>
          <w:tcPr>
            <w:tcW w:w="8080" w:type="dxa"/>
            <w:gridSpan w:val="2"/>
            <w:tcBorders>
              <w:top w:val="single" w:sz="12" w:space="0" w:color="000000" w:themeColor="text1"/>
              <w:left w:val="single" w:sz="6" w:space="0" w:color="000000" w:themeColor="text1"/>
              <w:bottom w:val="single" w:sz="12" w:space="0" w:color="000000" w:themeColor="text1"/>
            </w:tcBorders>
            <w:vAlign w:val="center"/>
          </w:tcPr>
          <w:p w:rsidR="0024237C" w:rsidRPr="0024237C" w:rsidRDefault="0024237C" w:rsidP="0024237C">
            <w:pPr>
              <w:pStyle w:val="Table-Singlerowsentries"/>
            </w:pPr>
            <w:r w:rsidRPr="0024237C">
              <w:t xml:space="preserve">For </w:t>
            </w:r>
            <w:r w:rsidR="001C20C2">
              <w:t xml:space="preserve">Police Stations, Magistrates Offices and </w:t>
            </w:r>
            <w:r w:rsidRPr="0024237C">
              <w:rPr>
                <w:b/>
              </w:rPr>
              <w:t>Residential Areas</w:t>
            </w:r>
            <w:r w:rsidRPr="0024237C">
              <w:t xml:space="preserve"> on premises of commercial industries, military establishments and prison grounds (</w:t>
            </w:r>
            <w:r w:rsidRPr="00B706E6">
              <w:rPr>
                <w:i/>
              </w:rPr>
              <w:t xml:space="preserve">Refer to Human Settlement Planning and Design </w:t>
            </w:r>
            <w:r w:rsidRPr="00B706E6">
              <w:rPr>
                <w:rFonts w:hint="eastAsia"/>
                <w:i/>
              </w:rPr>
              <w:t>–</w:t>
            </w:r>
            <w:r w:rsidRPr="00B706E6">
              <w:rPr>
                <w:i/>
              </w:rPr>
              <w:t xml:space="preserve"> Red Book </w:t>
            </w:r>
            <w:r w:rsidRPr="00B706E6">
              <w:rPr>
                <w:rFonts w:hint="eastAsia"/>
                <w:i/>
              </w:rPr>
              <w:t>–</w:t>
            </w:r>
            <w:r w:rsidRPr="00B706E6">
              <w:rPr>
                <w:i/>
              </w:rPr>
              <w:t xml:space="preserve"> Dept</w:t>
            </w:r>
            <w:r w:rsidR="001C20C2">
              <w:rPr>
                <w:i/>
              </w:rPr>
              <w:t>.</w:t>
            </w:r>
            <w:r w:rsidRPr="00B706E6">
              <w:rPr>
                <w:i/>
              </w:rPr>
              <w:t xml:space="preserve"> of Housing and Part W of the National Building Regulations and Building Standards Act</w:t>
            </w:r>
            <w:r w:rsidRPr="0024237C">
              <w:t>)</w:t>
            </w:r>
          </w:p>
        </w:tc>
      </w:tr>
      <w:tr w:rsidR="0024237C" w:rsidRPr="00000D74" w:rsidTr="00240920">
        <w:tc>
          <w:tcPr>
            <w:tcW w:w="992" w:type="dxa"/>
            <w:tcBorders>
              <w:top w:val="single" w:sz="12" w:space="0" w:color="000000" w:themeColor="text1"/>
            </w:tcBorders>
            <w:vAlign w:val="center"/>
          </w:tcPr>
          <w:p w:rsidR="0024237C" w:rsidRDefault="0024237C" w:rsidP="00634F34">
            <w:pPr>
              <w:pStyle w:val="Table-Singlerowsentries"/>
              <w:ind w:left="0"/>
              <w:jc w:val="center"/>
            </w:pPr>
            <w:r>
              <w:t>2.1</w:t>
            </w:r>
          </w:p>
        </w:tc>
        <w:tc>
          <w:tcPr>
            <w:tcW w:w="4820" w:type="dxa"/>
            <w:tcBorders>
              <w:top w:val="single" w:sz="12" w:space="0" w:color="000000" w:themeColor="text1"/>
            </w:tcBorders>
          </w:tcPr>
          <w:p w:rsidR="0024237C" w:rsidRPr="00BD552D" w:rsidRDefault="0024237C" w:rsidP="0024237C">
            <w:pPr>
              <w:pStyle w:val="Table-Singlerowsentries"/>
            </w:pPr>
            <w:r w:rsidRPr="00BD552D">
              <w:t>Minimum. Design Fire Flow with one hydrant discharging</w:t>
            </w:r>
          </w:p>
        </w:tc>
        <w:tc>
          <w:tcPr>
            <w:tcW w:w="3260" w:type="dxa"/>
            <w:tcBorders>
              <w:top w:val="single" w:sz="12" w:space="0" w:color="000000" w:themeColor="text1"/>
            </w:tcBorders>
            <w:vAlign w:val="center"/>
          </w:tcPr>
          <w:p w:rsidR="0024237C" w:rsidRPr="005514D3" w:rsidRDefault="0024237C" w:rsidP="0024237C">
            <w:pPr>
              <w:pStyle w:val="Table-Singlerowsentries"/>
              <w:jc w:val="center"/>
            </w:pPr>
            <w:r w:rsidRPr="005514D3">
              <w:t>20 ℓ/s</w:t>
            </w:r>
          </w:p>
        </w:tc>
      </w:tr>
      <w:tr w:rsidR="0024237C" w:rsidRPr="00000D74" w:rsidTr="00240920">
        <w:tc>
          <w:tcPr>
            <w:tcW w:w="992" w:type="dxa"/>
            <w:vAlign w:val="center"/>
          </w:tcPr>
          <w:p w:rsidR="0024237C" w:rsidRDefault="0024237C" w:rsidP="00634F34">
            <w:pPr>
              <w:pStyle w:val="Table-Singlerowsentries"/>
              <w:ind w:left="0"/>
              <w:jc w:val="center"/>
            </w:pPr>
            <w:r>
              <w:t>2.2</w:t>
            </w:r>
          </w:p>
        </w:tc>
        <w:tc>
          <w:tcPr>
            <w:tcW w:w="4820" w:type="dxa"/>
          </w:tcPr>
          <w:p w:rsidR="0024237C" w:rsidRPr="00BD552D" w:rsidRDefault="0024237C" w:rsidP="0024237C">
            <w:pPr>
              <w:pStyle w:val="Table-Singlerowsentries"/>
            </w:pPr>
            <w:r w:rsidRPr="00BD552D">
              <w:t>Duration of Fire Flow</w:t>
            </w:r>
          </w:p>
        </w:tc>
        <w:tc>
          <w:tcPr>
            <w:tcW w:w="3260" w:type="dxa"/>
            <w:vAlign w:val="center"/>
          </w:tcPr>
          <w:p w:rsidR="0024237C" w:rsidRPr="005514D3" w:rsidRDefault="0024237C" w:rsidP="0024237C">
            <w:pPr>
              <w:pStyle w:val="Table-Singlerowsentries"/>
              <w:jc w:val="center"/>
            </w:pPr>
            <w:r w:rsidRPr="005514D3">
              <w:t>2 h</w:t>
            </w:r>
          </w:p>
        </w:tc>
      </w:tr>
      <w:tr w:rsidR="0024237C" w:rsidRPr="00000D74" w:rsidTr="00240920">
        <w:tc>
          <w:tcPr>
            <w:tcW w:w="992" w:type="dxa"/>
            <w:vAlign w:val="center"/>
          </w:tcPr>
          <w:p w:rsidR="0024237C" w:rsidRDefault="0024237C" w:rsidP="00634F34">
            <w:pPr>
              <w:pStyle w:val="Table-Singlerowsentries"/>
              <w:ind w:left="0"/>
              <w:jc w:val="center"/>
            </w:pPr>
            <w:r>
              <w:t>2.3</w:t>
            </w:r>
          </w:p>
        </w:tc>
        <w:tc>
          <w:tcPr>
            <w:tcW w:w="4820" w:type="dxa"/>
          </w:tcPr>
          <w:p w:rsidR="0024237C" w:rsidRPr="00BD552D" w:rsidRDefault="0024237C" w:rsidP="0024237C">
            <w:pPr>
              <w:pStyle w:val="Table-Singlerowsentries"/>
            </w:pPr>
            <w:r w:rsidRPr="00BD552D">
              <w:t>Minimum Hydrant Flow</w:t>
            </w:r>
          </w:p>
        </w:tc>
        <w:tc>
          <w:tcPr>
            <w:tcW w:w="3260" w:type="dxa"/>
            <w:vAlign w:val="center"/>
          </w:tcPr>
          <w:p w:rsidR="0024237C" w:rsidRPr="005514D3" w:rsidRDefault="0024237C" w:rsidP="0024237C">
            <w:pPr>
              <w:pStyle w:val="Table-Singlerowsentries"/>
              <w:jc w:val="center"/>
            </w:pPr>
            <w:r w:rsidRPr="005514D3">
              <w:t>20 ℓ/s</w:t>
            </w:r>
          </w:p>
        </w:tc>
      </w:tr>
      <w:tr w:rsidR="0024237C" w:rsidRPr="00000D74" w:rsidTr="00240920">
        <w:tc>
          <w:tcPr>
            <w:tcW w:w="992" w:type="dxa"/>
            <w:vAlign w:val="center"/>
          </w:tcPr>
          <w:p w:rsidR="0024237C" w:rsidRDefault="0024237C" w:rsidP="00634F34">
            <w:pPr>
              <w:pStyle w:val="Table-Singlerowsentries"/>
              <w:ind w:left="0"/>
              <w:jc w:val="center"/>
            </w:pPr>
            <w:r>
              <w:t>2.4</w:t>
            </w:r>
          </w:p>
        </w:tc>
        <w:tc>
          <w:tcPr>
            <w:tcW w:w="4820" w:type="dxa"/>
          </w:tcPr>
          <w:p w:rsidR="0024237C" w:rsidRPr="00BD552D" w:rsidRDefault="0024237C" w:rsidP="0024237C">
            <w:pPr>
              <w:pStyle w:val="Table-Singlerowsentries"/>
            </w:pPr>
            <w:r w:rsidRPr="00BD552D">
              <w:t>Minimum Hose Reel Flow</w:t>
            </w:r>
          </w:p>
        </w:tc>
        <w:tc>
          <w:tcPr>
            <w:tcW w:w="3260" w:type="dxa"/>
            <w:vAlign w:val="center"/>
          </w:tcPr>
          <w:p w:rsidR="0024237C" w:rsidRPr="005514D3" w:rsidRDefault="0024237C" w:rsidP="0024237C">
            <w:pPr>
              <w:pStyle w:val="Table-Singlerowsentries"/>
              <w:jc w:val="center"/>
            </w:pPr>
            <w:r w:rsidRPr="005514D3">
              <w:t>0,5 ℓ/s</w:t>
            </w:r>
          </w:p>
        </w:tc>
      </w:tr>
      <w:tr w:rsidR="0024237C" w:rsidRPr="00000D74" w:rsidTr="00240920">
        <w:tc>
          <w:tcPr>
            <w:tcW w:w="992" w:type="dxa"/>
            <w:tcBorders>
              <w:bottom w:val="single" w:sz="12" w:space="0" w:color="000000" w:themeColor="text1"/>
            </w:tcBorders>
            <w:vAlign w:val="center"/>
          </w:tcPr>
          <w:p w:rsidR="0024237C" w:rsidRDefault="0024237C" w:rsidP="00634F34">
            <w:pPr>
              <w:pStyle w:val="Table-Singlerowsentries"/>
              <w:ind w:left="0"/>
              <w:jc w:val="center"/>
            </w:pPr>
            <w:r>
              <w:t>2.5</w:t>
            </w:r>
          </w:p>
        </w:tc>
        <w:tc>
          <w:tcPr>
            <w:tcW w:w="4820" w:type="dxa"/>
            <w:tcBorders>
              <w:bottom w:val="single" w:sz="12" w:space="0" w:color="000000" w:themeColor="text1"/>
            </w:tcBorders>
          </w:tcPr>
          <w:p w:rsidR="0024237C" w:rsidRDefault="0024237C" w:rsidP="0024237C">
            <w:pPr>
              <w:pStyle w:val="Table-Singlerowsentries"/>
            </w:pPr>
            <w:r w:rsidRPr="00BD552D">
              <w:t>Minimum residual head with fire</w:t>
            </w:r>
          </w:p>
        </w:tc>
        <w:tc>
          <w:tcPr>
            <w:tcW w:w="3260" w:type="dxa"/>
            <w:tcBorders>
              <w:bottom w:val="single" w:sz="12" w:space="0" w:color="000000" w:themeColor="text1"/>
            </w:tcBorders>
            <w:vAlign w:val="center"/>
          </w:tcPr>
          <w:p w:rsidR="0024237C" w:rsidRDefault="0024237C" w:rsidP="0024237C">
            <w:pPr>
              <w:pStyle w:val="Table-Singlerowsentries"/>
              <w:jc w:val="center"/>
            </w:pPr>
            <w:r w:rsidRPr="005514D3">
              <w:t>Maximum building height +7m</w:t>
            </w:r>
          </w:p>
        </w:tc>
      </w:tr>
      <w:tr w:rsidR="000A78FD" w:rsidRPr="00000D74" w:rsidTr="00240920">
        <w:tc>
          <w:tcPr>
            <w:tcW w:w="992" w:type="dxa"/>
            <w:tcBorders>
              <w:top w:val="single" w:sz="12" w:space="0" w:color="000000" w:themeColor="text1"/>
              <w:bottom w:val="single" w:sz="12" w:space="0" w:color="000000" w:themeColor="text1"/>
              <w:right w:val="single" w:sz="6" w:space="0" w:color="000000" w:themeColor="text1"/>
            </w:tcBorders>
            <w:vAlign w:val="center"/>
          </w:tcPr>
          <w:p w:rsidR="000A78FD" w:rsidRPr="00634F34" w:rsidRDefault="000A78FD" w:rsidP="00634F34">
            <w:pPr>
              <w:pStyle w:val="Table-Singlerowsentries"/>
              <w:ind w:left="0"/>
              <w:jc w:val="center"/>
              <w:rPr>
                <w:b/>
              </w:rPr>
            </w:pPr>
            <w:r w:rsidRPr="00634F34">
              <w:rPr>
                <w:b/>
              </w:rPr>
              <w:t>3.</w:t>
            </w:r>
          </w:p>
        </w:tc>
        <w:tc>
          <w:tcPr>
            <w:tcW w:w="8080" w:type="dxa"/>
            <w:gridSpan w:val="2"/>
            <w:tcBorders>
              <w:top w:val="single" w:sz="12" w:space="0" w:color="000000" w:themeColor="text1"/>
              <w:left w:val="single" w:sz="6" w:space="0" w:color="000000" w:themeColor="text1"/>
              <w:bottom w:val="single" w:sz="12" w:space="0" w:color="000000" w:themeColor="text1"/>
            </w:tcBorders>
            <w:vAlign w:val="center"/>
          </w:tcPr>
          <w:p w:rsidR="000A78FD" w:rsidRPr="0024237C" w:rsidRDefault="000A78FD" w:rsidP="0024237C">
            <w:pPr>
              <w:pStyle w:val="Table-Singlerowsentries"/>
            </w:pPr>
            <w:r w:rsidRPr="000A78FD">
              <w:t xml:space="preserve">For </w:t>
            </w:r>
            <w:r w:rsidRPr="000A78FD">
              <w:rPr>
                <w:b/>
              </w:rPr>
              <w:t>Airport Areas</w:t>
            </w:r>
            <w:r w:rsidRPr="000A78FD">
              <w:t xml:space="preserve"> on premises of military establishments (Fire specialist and rational fire designs mandatory)</w:t>
            </w:r>
          </w:p>
        </w:tc>
      </w:tr>
      <w:tr w:rsidR="00830CAD" w:rsidRPr="00000D74" w:rsidTr="00B039A1">
        <w:tc>
          <w:tcPr>
            <w:tcW w:w="992" w:type="dxa"/>
            <w:tcBorders>
              <w:top w:val="single" w:sz="12" w:space="0" w:color="000000" w:themeColor="text1"/>
            </w:tcBorders>
            <w:vAlign w:val="center"/>
          </w:tcPr>
          <w:p w:rsidR="00830CAD" w:rsidRPr="00DF119A" w:rsidRDefault="00830CAD" w:rsidP="00634F34">
            <w:pPr>
              <w:pStyle w:val="Table-Singlerowsentries"/>
              <w:ind w:left="0"/>
              <w:jc w:val="center"/>
            </w:pPr>
            <w:r w:rsidRPr="00DF119A">
              <w:t>3.1</w:t>
            </w:r>
          </w:p>
        </w:tc>
        <w:tc>
          <w:tcPr>
            <w:tcW w:w="4820" w:type="dxa"/>
            <w:tcBorders>
              <w:top w:val="single" w:sz="12" w:space="0" w:color="000000" w:themeColor="text1"/>
            </w:tcBorders>
          </w:tcPr>
          <w:p w:rsidR="00830CAD" w:rsidRPr="00DF119A" w:rsidRDefault="00830CAD" w:rsidP="000A78FD">
            <w:pPr>
              <w:pStyle w:val="Table-Singlerowsentries"/>
            </w:pPr>
            <w:r w:rsidRPr="00DF119A">
              <w:t>Minimum. Design Fire Flow with one hydrant discharging</w:t>
            </w:r>
          </w:p>
        </w:tc>
        <w:tc>
          <w:tcPr>
            <w:tcW w:w="3260" w:type="dxa"/>
            <w:tcBorders>
              <w:top w:val="single" w:sz="12" w:space="0" w:color="000000" w:themeColor="text1"/>
              <w:bottom w:val="single" w:sz="6" w:space="0" w:color="000000" w:themeColor="text1"/>
            </w:tcBorders>
            <w:shd w:val="clear" w:color="auto" w:fill="auto"/>
            <w:vAlign w:val="center"/>
          </w:tcPr>
          <w:p w:rsidR="00830CAD" w:rsidRPr="005514D3" w:rsidRDefault="00830CAD" w:rsidP="000849CB">
            <w:pPr>
              <w:pStyle w:val="Table-Singlerowsentries"/>
              <w:jc w:val="center"/>
            </w:pPr>
            <w:r w:rsidRPr="005514D3">
              <w:t>20 ℓ/s</w:t>
            </w:r>
          </w:p>
        </w:tc>
      </w:tr>
      <w:tr w:rsidR="00830CAD" w:rsidRPr="00000D74" w:rsidTr="00B039A1">
        <w:tc>
          <w:tcPr>
            <w:tcW w:w="992" w:type="dxa"/>
            <w:vAlign w:val="center"/>
          </w:tcPr>
          <w:p w:rsidR="00830CAD" w:rsidRPr="00DF119A" w:rsidRDefault="00830CAD" w:rsidP="00634F34">
            <w:pPr>
              <w:pStyle w:val="Table-Singlerowsentries"/>
              <w:ind w:left="0"/>
              <w:jc w:val="center"/>
            </w:pPr>
            <w:r w:rsidRPr="00DF119A">
              <w:t>3.2</w:t>
            </w:r>
          </w:p>
        </w:tc>
        <w:tc>
          <w:tcPr>
            <w:tcW w:w="4820" w:type="dxa"/>
          </w:tcPr>
          <w:p w:rsidR="00830CAD" w:rsidRPr="00DF119A" w:rsidRDefault="00830CAD" w:rsidP="000A78FD">
            <w:pPr>
              <w:pStyle w:val="Table-Singlerowsentries"/>
            </w:pPr>
            <w:r w:rsidRPr="00DF119A">
              <w:t>Duration of Fire Flow</w:t>
            </w:r>
          </w:p>
        </w:tc>
        <w:tc>
          <w:tcPr>
            <w:tcW w:w="3260" w:type="dxa"/>
            <w:tcBorders>
              <w:top w:val="single" w:sz="6" w:space="0" w:color="000000" w:themeColor="text1"/>
              <w:bottom w:val="single" w:sz="6" w:space="0" w:color="000000" w:themeColor="text1"/>
            </w:tcBorders>
            <w:shd w:val="clear" w:color="auto" w:fill="auto"/>
            <w:vAlign w:val="center"/>
          </w:tcPr>
          <w:p w:rsidR="00830CAD" w:rsidRPr="005514D3" w:rsidRDefault="00830CAD" w:rsidP="000849CB">
            <w:pPr>
              <w:pStyle w:val="Table-Singlerowsentries"/>
              <w:jc w:val="center"/>
            </w:pPr>
            <w:r w:rsidRPr="005514D3">
              <w:t>2 h</w:t>
            </w:r>
          </w:p>
        </w:tc>
      </w:tr>
      <w:tr w:rsidR="00830CAD" w:rsidRPr="00000D74" w:rsidTr="00B039A1">
        <w:tc>
          <w:tcPr>
            <w:tcW w:w="992" w:type="dxa"/>
            <w:vAlign w:val="center"/>
          </w:tcPr>
          <w:p w:rsidR="00830CAD" w:rsidRPr="00DF119A" w:rsidRDefault="00830CAD" w:rsidP="00634F34">
            <w:pPr>
              <w:pStyle w:val="Table-Singlerowsentries"/>
              <w:ind w:left="0"/>
              <w:jc w:val="center"/>
            </w:pPr>
            <w:r w:rsidRPr="00DF119A">
              <w:t>3.3</w:t>
            </w:r>
          </w:p>
        </w:tc>
        <w:tc>
          <w:tcPr>
            <w:tcW w:w="4820" w:type="dxa"/>
          </w:tcPr>
          <w:p w:rsidR="00830CAD" w:rsidRPr="00DF119A" w:rsidRDefault="00830CAD" w:rsidP="000A78FD">
            <w:pPr>
              <w:pStyle w:val="Table-Singlerowsentries"/>
            </w:pPr>
            <w:r w:rsidRPr="00DF119A">
              <w:t>Minimum Hydrant Flow</w:t>
            </w:r>
          </w:p>
        </w:tc>
        <w:tc>
          <w:tcPr>
            <w:tcW w:w="3260" w:type="dxa"/>
            <w:tcBorders>
              <w:top w:val="single" w:sz="6" w:space="0" w:color="000000" w:themeColor="text1"/>
              <w:bottom w:val="single" w:sz="6" w:space="0" w:color="000000" w:themeColor="text1"/>
            </w:tcBorders>
            <w:shd w:val="clear" w:color="auto" w:fill="auto"/>
            <w:vAlign w:val="center"/>
          </w:tcPr>
          <w:p w:rsidR="00830CAD" w:rsidRPr="005514D3" w:rsidRDefault="00830CAD" w:rsidP="000849CB">
            <w:pPr>
              <w:pStyle w:val="Table-Singlerowsentries"/>
              <w:jc w:val="center"/>
            </w:pPr>
            <w:r w:rsidRPr="005514D3">
              <w:t>20 ℓ/s</w:t>
            </w:r>
          </w:p>
        </w:tc>
      </w:tr>
      <w:tr w:rsidR="00830CAD" w:rsidRPr="00000D74" w:rsidTr="00B039A1">
        <w:tc>
          <w:tcPr>
            <w:tcW w:w="992" w:type="dxa"/>
            <w:vAlign w:val="center"/>
          </w:tcPr>
          <w:p w:rsidR="00830CAD" w:rsidRPr="00DF119A" w:rsidRDefault="00830CAD" w:rsidP="00634F34">
            <w:pPr>
              <w:pStyle w:val="Table-Singlerowsentries"/>
              <w:ind w:left="0"/>
              <w:jc w:val="center"/>
            </w:pPr>
            <w:r w:rsidRPr="00DF119A">
              <w:t>3.4</w:t>
            </w:r>
          </w:p>
        </w:tc>
        <w:tc>
          <w:tcPr>
            <w:tcW w:w="4820" w:type="dxa"/>
          </w:tcPr>
          <w:p w:rsidR="00830CAD" w:rsidRPr="00DF119A" w:rsidRDefault="00830CAD" w:rsidP="000A78FD">
            <w:pPr>
              <w:pStyle w:val="Table-Singlerowsentries"/>
            </w:pPr>
            <w:r w:rsidRPr="00DF119A">
              <w:t>Minimum Hose Reel Flow</w:t>
            </w:r>
          </w:p>
        </w:tc>
        <w:tc>
          <w:tcPr>
            <w:tcW w:w="3260" w:type="dxa"/>
            <w:tcBorders>
              <w:top w:val="single" w:sz="6" w:space="0" w:color="000000" w:themeColor="text1"/>
              <w:bottom w:val="single" w:sz="6" w:space="0" w:color="000000" w:themeColor="text1"/>
            </w:tcBorders>
            <w:shd w:val="clear" w:color="auto" w:fill="auto"/>
            <w:vAlign w:val="center"/>
          </w:tcPr>
          <w:p w:rsidR="00830CAD" w:rsidRPr="005514D3" w:rsidRDefault="00830CAD" w:rsidP="000849CB">
            <w:pPr>
              <w:pStyle w:val="Table-Singlerowsentries"/>
              <w:jc w:val="center"/>
            </w:pPr>
            <w:r w:rsidRPr="005514D3">
              <w:t>0,5 ℓ/s</w:t>
            </w:r>
          </w:p>
        </w:tc>
      </w:tr>
      <w:tr w:rsidR="00830CAD" w:rsidRPr="00000D74" w:rsidTr="00B039A1">
        <w:tc>
          <w:tcPr>
            <w:tcW w:w="992" w:type="dxa"/>
            <w:vAlign w:val="center"/>
          </w:tcPr>
          <w:p w:rsidR="00830CAD" w:rsidRPr="00DF119A" w:rsidRDefault="00830CAD" w:rsidP="00634F34">
            <w:pPr>
              <w:pStyle w:val="Table-Singlerowsentries"/>
              <w:ind w:left="0"/>
              <w:jc w:val="center"/>
            </w:pPr>
            <w:r w:rsidRPr="00DF119A">
              <w:t>3.5</w:t>
            </w:r>
          </w:p>
        </w:tc>
        <w:tc>
          <w:tcPr>
            <w:tcW w:w="4820" w:type="dxa"/>
          </w:tcPr>
          <w:p w:rsidR="00830CAD" w:rsidRPr="00DF119A" w:rsidRDefault="00830CAD" w:rsidP="000A78FD">
            <w:pPr>
              <w:pStyle w:val="Table-Singlerowsentries"/>
            </w:pPr>
            <w:r w:rsidRPr="00DF119A">
              <w:t>Minimum residual head with fire</w:t>
            </w:r>
          </w:p>
        </w:tc>
        <w:tc>
          <w:tcPr>
            <w:tcW w:w="3260" w:type="dxa"/>
            <w:tcBorders>
              <w:top w:val="single" w:sz="6" w:space="0" w:color="000000" w:themeColor="text1"/>
              <w:bottom w:val="single" w:sz="12" w:space="0" w:color="000000" w:themeColor="text1"/>
            </w:tcBorders>
            <w:shd w:val="clear" w:color="auto" w:fill="auto"/>
            <w:vAlign w:val="center"/>
          </w:tcPr>
          <w:p w:rsidR="00830CAD" w:rsidRDefault="00830CAD" w:rsidP="000849CB">
            <w:pPr>
              <w:pStyle w:val="Table-Singlerowsentries"/>
              <w:jc w:val="center"/>
            </w:pPr>
            <w:r w:rsidRPr="005514D3">
              <w:t>Maximum building height +7m</w:t>
            </w:r>
          </w:p>
        </w:tc>
      </w:tr>
    </w:tbl>
    <w:p w:rsidR="00044FBF" w:rsidRDefault="00044FBF" w:rsidP="00044FBF">
      <w:pPr>
        <w:spacing w:before="0" w:after="0"/>
        <w:rPr>
          <w:sz w:val="20"/>
          <w:szCs w:val="20"/>
        </w:rPr>
      </w:pPr>
    </w:p>
    <w:tbl>
      <w:tblPr>
        <w:tblStyle w:val="TableGrid"/>
        <w:tblW w:w="0" w:type="auto"/>
        <w:tblInd w:w="817"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tblPr>
      <w:tblGrid>
        <w:gridCol w:w="623"/>
        <w:gridCol w:w="373"/>
        <w:gridCol w:w="763"/>
        <w:gridCol w:w="1417"/>
        <w:gridCol w:w="737"/>
        <w:gridCol w:w="373"/>
        <w:gridCol w:w="878"/>
        <w:gridCol w:w="1417"/>
        <w:gridCol w:w="755"/>
        <w:gridCol w:w="375"/>
        <w:gridCol w:w="1406"/>
      </w:tblGrid>
      <w:tr w:rsidR="00FD338B" w:rsidTr="00737FE6">
        <w:tc>
          <w:tcPr>
            <w:tcW w:w="9117" w:type="dxa"/>
            <w:gridSpan w:val="11"/>
            <w:tcBorders>
              <w:top w:val="single" w:sz="12" w:space="0" w:color="auto"/>
              <w:bottom w:val="single" w:sz="6" w:space="0" w:color="auto"/>
            </w:tcBorders>
            <w:vAlign w:val="center"/>
          </w:tcPr>
          <w:p w:rsidR="00FD338B" w:rsidRPr="00FD338B" w:rsidRDefault="00FD338B" w:rsidP="00FD338B">
            <w:pPr>
              <w:pStyle w:val="Table-Singlerowsentries"/>
              <w:rPr>
                <w:b/>
              </w:rPr>
            </w:pPr>
            <w:r w:rsidRPr="00FD338B">
              <w:rPr>
                <w:b/>
              </w:rPr>
              <w:t>LEGEND:</w:t>
            </w:r>
          </w:p>
        </w:tc>
      </w:tr>
      <w:tr w:rsidR="00FD338B" w:rsidRPr="00737FE6" w:rsidTr="00737FE6">
        <w:tc>
          <w:tcPr>
            <w:tcW w:w="623" w:type="dxa"/>
            <w:tcBorders>
              <w:top w:val="single" w:sz="6" w:space="0" w:color="auto"/>
            </w:tcBorders>
            <w:vAlign w:val="center"/>
          </w:tcPr>
          <w:p w:rsidR="00FD338B" w:rsidRPr="00737FE6" w:rsidRDefault="00FD338B" w:rsidP="00FD338B">
            <w:pPr>
              <w:pStyle w:val="Table-Singlerowsentries"/>
              <w:jc w:val="center"/>
              <w:rPr>
                <w:b/>
                <w:i/>
              </w:rPr>
            </w:pPr>
            <w:r w:rsidRPr="00737FE6">
              <w:rPr>
                <w:b/>
                <w:i/>
              </w:rPr>
              <w:t>ℓ</w:t>
            </w:r>
          </w:p>
        </w:tc>
        <w:tc>
          <w:tcPr>
            <w:tcW w:w="373" w:type="dxa"/>
            <w:tcBorders>
              <w:top w:val="single" w:sz="6" w:space="0" w:color="auto"/>
            </w:tcBorders>
            <w:vAlign w:val="center"/>
          </w:tcPr>
          <w:p w:rsidR="00FD338B" w:rsidRPr="00737FE6" w:rsidRDefault="00FD338B" w:rsidP="00FD338B">
            <w:pPr>
              <w:pStyle w:val="Table-Singlerowsentries"/>
              <w:jc w:val="center"/>
              <w:rPr>
                <w:i/>
              </w:rPr>
            </w:pPr>
            <w:r w:rsidRPr="00737FE6">
              <w:rPr>
                <w:i/>
              </w:rPr>
              <w:t>=</w:t>
            </w:r>
          </w:p>
        </w:tc>
        <w:tc>
          <w:tcPr>
            <w:tcW w:w="763" w:type="dxa"/>
            <w:tcBorders>
              <w:top w:val="single" w:sz="6" w:space="0" w:color="auto"/>
            </w:tcBorders>
            <w:vAlign w:val="center"/>
          </w:tcPr>
          <w:p w:rsidR="00FD338B" w:rsidRPr="00737FE6" w:rsidRDefault="00FD338B" w:rsidP="00FD338B">
            <w:pPr>
              <w:pStyle w:val="Table-Singlerowsentries"/>
              <w:jc w:val="center"/>
              <w:rPr>
                <w:i/>
              </w:rPr>
            </w:pPr>
            <w:r w:rsidRPr="00737FE6">
              <w:rPr>
                <w:i/>
              </w:rPr>
              <w:t>Lit</w:t>
            </w:r>
            <w:r w:rsidR="00E92B44">
              <w:rPr>
                <w:i/>
              </w:rPr>
              <w:t>re</w:t>
            </w:r>
          </w:p>
        </w:tc>
        <w:tc>
          <w:tcPr>
            <w:tcW w:w="1417" w:type="dxa"/>
            <w:tcBorders>
              <w:top w:val="single" w:sz="6" w:space="0" w:color="auto"/>
            </w:tcBorders>
            <w:vAlign w:val="center"/>
          </w:tcPr>
          <w:p w:rsidR="00FD338B" w:rsidRPr="00737FE6" w:rsidRDefault="00FD338B" w:rsidP="00FD338B">
            <w:pPr>
              <w:pStyle w:val="Table-Singlerowsentries"/>
              <w:jc w:val="center"/>
              <w:rPr>
                <w:i/>
              </w:rPr>
            </w:pPr>
          </w:p>
        </w:tc>
        <w:tc>
          <w:tcPr>
            <w:tcW w:w="737" w:type="dxa"/>
            <w:tcBorders>
              <w:top w:val="single" w:sz="6" w:space="0" w:color="auto"/>
            </w:tcBorders>
            <w:vAlign w:val="center"/>
          </w:tcPr>
          <w:p w:rsidR="00FD338B" w:rsidRPr="00737FE6" w:rsidRDefault="00FD338B" w:rsidP="00FD338B">
            <w:pPr>
              <w:pStyle w:val="Table-Singlerowsentries"/>
              <w:jc w:val="center"/>
              <w:rPr>
                <w:b/>
                <w:i/>
              </w:rPr>
            </w:pPr>
            <w:r w:rsidRPr="00737FE6">
              <w:rPr>
                <w:b/>
                <w:i/>
              </w:rPr>
              <w:t>s</w:t>
            </w:r>
          </w:p>
        </w:tc>
        <w:tc>
          <w:tcPr>
            <w:tcW w:w="373" w:type="dxa"/>
            <w:tcBorders>
              <w:top w:val="single" w:sz="6" w:space="0" w:color="auto"/>
            </w:tcBorders>
            <w:vAlign w:val="center"/>
          </w:tcPr>
          <w:p w:rsidR="00FD338B" w:rsidRPr="00737FE6" w:rsidRDefault="00FD338B" w:rsidP="00FD338B">
            <w:pPr>
              <w:pStyle w:val="Table-Singlerowsentries"/>
              <w:jc w:val="center"/>
              <w:rPr>
                <w:i/>
              </w:rPr>
            </w:pPr>
            <w:r w:rsidRPr="00737FE6">
              <w:rPr>
                <w:i/>
              </w:rPr>
              <w:t>=</w:t>
            </w:r>
          </w:p>
        </w:tc>
        <w:tc>
          <w:tcPr>
            <w:tcW w:w="878" w:type="dxa"/>
            <w:tcBorders>
              <w:top w:val="single" w:sz="6" w:space="0" w:color="auto"/>
            </w:tcBorders>
            <w:vAlign w:val="center"/>
          </w:tcPr>
          <w:p w:rsidR="00FD338B" w:rsidRPr="00737FE6" w:rsidRDefault="00FD338B" w:rsidP="00FD338B">
            <w:pPr>
              <w:pStyle w:val="Table-Singlerowsentries"/>
              <w:jc w:val="center"/>
              <w:rPr>
                <w:i/>
              </w:rPr>
            </w:pPr>
            <w:r w:rsidRPr="00737FE6">
              <w:rPr>
                <w:i/>
              </w:rPr>
              <w:t>Second</w:t>
            </w:r>
          </w:p>
        </w:tc>
        <w:tc>
          <w:tcPr>
            <w:tcW w:w="1417" w:type="dxa"/>
            <w:tcBorders>
              <w:top w:val="single" w:sz="6" w:space="0" w:color="auto"/>
            </w:tcBorders>
            <w:vAlign w:val="center"/>
          </w:tcPr>
          <w:p w:rsidR="00FD338B" w:rsidRPr="00737FE6" w:rsidRDefault="00FD338B" w:rsidP="00FD338B">
            <w:pPr>
              <w:pStyle w:val="Table-Singlerowsentries"/>
              <w:jc w:val="center"/>
              <w:rPr>
                <w:i/>
              </w:rPr>
            </w:pPr>
          </w:p>
        </w:tc>
        <w:tc>
          <w:tcPr>
            <w:tcW w:w="755" w:type="dxa"/>
            <w:tcBorders>
              <w:top w:val="single" w:sz="6" w:space="0" w:color="auto"/>
            </w:tcBorders>
            <w:vAlign w:val="center"/>
          </w:tcPr>
          <w:p w:rsidR="00FD338B" w:rsidRPr="00737FE6" w:rsidRDefault="00FD338B" w:rsidP="00FD338B">
            <w:pPr>
              <w:pStyle w:val="Table-Singlerowsentries"/>
              <w:jc w:val="center"/>
              <w:rPr>
                <w:b/>
                <w:i/>
              </w:rPr>
            </w:pPr>
            <w:proofErr w:type="spellStart"/>
            <w:r w:rsidRPr="00737FE6">
              <w:rPr>
                <w:b/>
                <w:i/>
              </w:rPr>
              <w:t>kPa</w:t>
            </w:r>
            <w:proofErr w:type="spellEnd"/>
          </w:p>
        </w:tc>
        <w:tc>
          <w:tcPr>
            <w:tcW w:w="375" w:type="dxa"/>
            <w:tcBorders>
              <w:top w:val="single" w:sz="6" w:space="0" w:color="auto"/>
            </w:tcBorders>
            <w:vAlign w:val="center"/>
          </w:tcPr>
          <w:p w:rsidR="00FD338B" w:rsidRPr="00737FE6" w:rsidRDefault="00FD338B" w:rsidP="00FD338B">
            <w:pPr>
              <w:pStyle w:val="Table-Singlerowsentries"/>
              <w:jc w:val="center"/>
              <w:rPr>
                <w:i/>
              </w:rPr>
            </w:pPr>
            <w:r w:rsidRPr="00737FE6">
              <w:rPr>
                <w:i/>
              </w:rPr>
              <w:t>=</w:t>
            </w:r>
          </w:p>
        </w:tc>
        <w:tc>
          <w:tcPr>
            <w:tcW w:w="1406" w:type="dxa"/>
            <w:tcBorders>
              <w:top w:val="single" w:sz="6" w:space="0" w:color="auto"/>
            </w:tcBorders>
            <w:vAlign w:val="center"/>
          </w:tcPr>
          <w:p w:rsidR="00FD338B" w:rsidRPr="00737FE6" w:rsidRDefault="00FD338B" w:rsidP="00FD338B">
            <w:pPr>
              <w:pStyle w:val="Table-Singlerowsentries"/>
              <w:jc w:val="center"/>
              <w:rPr>
                <w:i/>
              </w:rPr>
            </w:pPr>
            <w:r w:rsidRPr="00737FE6">
              <w:rPr>
                <w:i/>
              </w:rPr>
              <w:t>Kilo</w:t>
            </w:r>
            <w:r w:rsidR="00E92B44">
              <w:rPr>
                <w:i/>
              </w:rPr>
              <w:t xml:space="preserve"> </w:t>
            </w:r>
            <w:r w:rsidRPr="00737FE6">
              <w:rPr>
                <w:i/>
              </w:rPr>
              <w:t>Pascal</w:t>
            </w:r>
          </w:p>
        </w:tc>
      </w:tr>
      <w:tr w:rsidR="00FD338B" w:rsidRPr="00737FE6" w:rsidTr="00737FE6">
        <w:tc>
          <w:tcPr>
            <w:tcW w:w="623" w:type="dxa"/>
            <w:vAlign w:val="center"/>
          </w:tcPr>
          <w:p w:rsidR="00FD338B" w:rsidRPr="00737FE6" w:rsidRDefault="00FD338B" w:rsidP="00FD338B">
            <w:pPr>
              <w:pStyle w:val="Table-Singlerowsentries"/>
              <w:jc w:val="center"/>
              <w:rPr>
                <w:b/>
                <w:i/>
              </w:rPr>
            </w:pPr>
            <w:r w:rsidRPr="00737FE6">
              <w:rPr>
                <w:b/>
                <w:i/>
              </w:rPr>
              <w:t>h</w:t>
            </w:r>
          </w:p>
        </w:tc>
        <w:tc>
          <w:tcPr>
            <w:tcW w:w="373" w:type="dxa"/>
            <w:vAlign w:val="center"/>
          </w:tcPr>
          <w:p w:rsidR="00FD338B" w:rsidRPr="00737FE6" w:rsidRDefault="00FD338B" w:rsidP="00FD338B">
            <w:pPr>
              <w:pStyle w:val="Table-Singlerowsentries"/>
              <w:jc w:val="center"/>
              <w:rPr>
                <w:i/>
              </w:rPr>
            </w:pPr>
            <w:r w:rsidRPr="00737FE6">
              <w:rPr>
                <w:i/>
              </w:rPr>
              <w:t>=</w:t>
            </w:r>
          </w:p>
        </w:tc>
        <w:tc>
          <w:tcPr>
            <w:tcW w:w="763" w:type="dxa"/>
            <w:vAlign w:val="center"/>
          </w:tcPr>
          <w:p w:rsidR="00FD338B" w:rsidRPr="00737FE6" w:rsidRDefault="00FD338B" w:rsidP="00FD338B">
            <w:pPr>
              <w:pStyle w:val="Table-Singlerowsentries"/>
              <w:jc w:val="center"/>
              <w:rPr>
                <w:i/>
              </w:rPr>
            </w:pPr>
            <w:r w:rsidRPr="00737FE6">
              <w:rPr>
                <w:i/>
              </w:rPr>
              <w:t>Hour</w:t>
            </w:r>
          </w:p>
        </w:tc>
        <w:tc>
          <w:tcPr>
            <w:tcW w:w="1417" w:type="dxa"/>
            <w:vAlign w:val="center"/>
          </w:tcPr>
          <w:p w:rsidR="00FD338B" w:rsidRPr="00737FE6" w:rsidRDefault="00FD338B" w:rsidP="00FD338B">
            <w:pPr>
              <w:pStyle w:val="Table-Singlerowsentries"/>
              <w:jc w:val="center"/>
              <w:rPr>
                <w:i/>
              </w:rPr>
            </w:pPr>
          </w:p>
        </w:tc>
        <w:tc>
          <w:tcPr>
            <w:tcW w:w="737" w:type="dxa"/>
            <w:vAlign w:val="center"/>
          </w:tcPr>
          <w:p w:rsidR="00FD338B" w:rsidRPr="00737FE6" w:rsidRDefault="00FD338B" w:rsidP="00FD338B">
            <w:pPr>
              <w:pStyle w:val="Table-Singlerowsentries"/>
              <w:jc w:val="center"/>
              <w:rPr>
                <w:b/>
                <w:i/>
              </w:rPr>
            </w:pPr>
            <w:r w:rsidRPr="00737FE6">
              <w:rPr>
                <w:b/>
                <w:i/>
              </w:rPr>
              <w:t>m</w:t>
            </w:r>
          </w:p>
        </w:tc>
        <w:tc>
          <w:tcPr>
            <w:tcW w:w="373" w:type="dxa"/>
            <w:vAlign w:val="center"/>
          </w:tcPr>
          <w:p w:rsidR="00FD338B" w:rsidRPr="00737FE6" w:rsidRDefault="00FD338B" w:rsidP="00FD338B">
            <w:pPr>
              <w:pStyle w:val="Table-Singlerowsentries"/>
              <w:jc w:val="center"/>
              <w:rPr>
                <w:i/>
              </w:rPr>
            </w:pPr>
            <w:r w:rsidRPr="00737FE6">
              <w:rPr>
                <w:i/>
              </w:rPr>
              <w:t>=</w:t>
            </w:r>
          </w:p>
        </w:tc>
        <w:tc>
          <w:tcPr>
            <w:tcW w:w="878" w:type="dxa"/>
            <w:vAlign w:val="center"/>
          </w:tcPr>
          <w:p w:rsidR="00FD338B" w:rsidRPr="00737FE6" w:rsidRDefault="00FD338B" w:rsidP="00FD338B">
            <w:pPr>
              <w:pStyle w:val="Table-Singlerowsentries"/>
              <w:jc w:val="center"/>
              <w:rPr>
                <w:i/>
              </w:rPr>
            </w:pPr>
            <w:r w:rsidRPr="00737FE6">
              <w:rPr>
                <w:i/>
              </w:rPr>
              <w:t>Meter</w:t>
            </w:r>
          </w:p>
        </w:tc>
        <w:tc>
          <w:tcPr>
            <w:tcW w:w="1417" w:type="dxa"/>
            <w:vAlign w:val="center"/>
          </w:tcPr>
          <w:p w:rsidR="00FD338B" w:rsidRPr="00737FE6" w:rsidRDefault="00FD338B" w:rsidP="00FD338B">
            <w:pPr>
              <w:pStyle w:val="Table-Singlerowsentries"/>
              <w:jc w:val="center"/>
              <w:rPr>
                <w:i/>
              </w:rPr>
            </w:pPr>
          </w:p>
        </w:tc>
        <w:tc>
          <w:tcPr>
            <w:tcW w:w="755" w:type="dxa"/>
            <w:vAlign w:val="center"/>
          </w:tcPr>
          <w:p w:rsidR="00FD338B" w:rsidRPr="00737FE6" w:rsidRDefault="00FD338B" w:rsidP="00FD338B">
            <w:pPr>
              <w:pStyle w:val="Table-Singlerowsentries"/>
              <w:jc w:val="center"/>
              <w:rPr>
                <w:i/>
              </w:rPr>
            </w:pPr>
          </w:p>
        </w:tc>
        <w:tc>
          <w:tcPr>
            <w:tcW w:w="375" w:type="dxa"/>
            <w:vAlign w:val="center"/>
          </w:tcPr>
          <w:p w:rsidR="00FD338B" w:rsidRPr="00737FE6" w:rsidRDefault="00FD338B" w:rsidP="00FD338B">
            <w:pPr>
              <w:pStyle w:val="Table-Singlerowsentries"/>
              <w:jc w:val="center"/>
              <w:rPr>
                <w:i/>
              </w:rPr>
            </w:pPr>
          </w:p>
        </w:tc>
        <w:tc>
          <w:tcPr>
            <w:tcW w:w="1406" w:type="dxa"/>
            <w:vAlign w:val="center"/>
          </w:tcPr>
          <w:p w:rsidR="00FD338B" w:rsidRPr="00737FE6" w:rsidRDefault="00FD338B" w:rsidP="00FD338B">
            <w:pPr>
              <w:pStyle w:val="Table-Singlerowsentries"/>
              <w:jc w:val="center"/>
              <w:rPr>
                <w:i/>
              </w:rPr>
            </w:pPr>
          </w:p>
        </w:tc>
      </w:tr>
    </w:tbl>
    <w:p w:rsidR="004D308D" w:rsidRDefault="004D308D" w:rsidP="00FC34FC">
      <w:pPr>
        <w:pStyle w:val="ListNumber2"/>
      </w:pPr>
      <w:r>
        <w:t>Combined Reticulation</w:t>
      </w:r>
    </w:p>
    <w:p w:rsidR="004D308D" w:rsidRDefault="004D308D" w:rsidP="004D308D">
      <w:pPr>
        <w:pStyle w:val="Para2"/>
      </w:pPr>
      <w:r>
        <w:t>If possible, domestic water supply and fire reticulation must be combined outside buildings.  Water and fire connections into buildings must be separate (architectural).  No valves are permitted on fire connections.</w:t>
      </w:r>
    </w:p>
    <w:p w:rsidR="004D308D" w:rsidRDefault="004D308D" w:rsidP="004D308D">
      <w:pPr>
        <w:pStyle w:val="ListNumber2"/>
      </w:pPr>
      <w:r>
        <w:t>Domestic Flows and Pressures</w:t>
      </w:r>
    </w:p>
    <w:p w:rsidR="00F91A9C" w:rsidRDefault="004D308D" w:rsidP="004D308D">
      <w:pPr>
        <w:pStyle w:val="Para2"/>
        <w:sectPr w:rsidR="00F91A9C" w:rsidSect="00DD2A5E">
          <w:pgSz w:w="11906" w:h="16838" w:code="9"/>
          <w:pgMar w:top="1134" w:right="964" w:bottom="964" w:left="1134" w:header="794" w:footer="510" w:gutter="0"/>
          <w:cols w:space="708"/>
          <w:docGrid w:linePitch="360"/>
        </w:sectPr>
      </w:pPr>
      <w:r>
        <w:t>Daily water demands excluding gardening (except where shown), shall be based on the following:</w:t>
      </w:r>
    </w:p>
    <w:tbl>
      <w:tblPr>
        <w:tblStyle w:val="TableGrid"/>
        <w:tblW w:w="9072" w:type="dxa"/>
        <w:tblInd w:w="81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3686"/>
        <w:gridCol w:w="5386"/>
      </w:tblGrid>
      <w:tr w:rsidR="00634F34" w:rsidRPr="00000D74" w:rsidTr="00F91A9C">
        <w:trPr>
          <w:tblHeader/>
        </w:trPr>
        <w:tc>
          <w:tcPr>
            <w:tcW w:w="9072" w:type="dxa"/>
            <w:gridSpan w:val="2"/>
            <w:tcBorders>
              <w:bottom w:val="single" w:sz="12" w:space="0" w:color="000000" w:themeColor="text1"/>
            </w:tcBorders>
            <w:vAlign w:val="center"/>
          </w:tcPr>
          <w:p w:rsidR="00634F34" w:rsidRPr="00000D74" w:rsidRDefault="00634F34" w:rsidP="002E3CE9">
            <w:pPr>
              <w:pStyle w:val="TableHeading"/>
              <w:rPr>
                <w:lang w:val="en-US"/>
              </w:rPr>
            </w:pPr>
            <w:r>
              <w:rPr>
                <w:lang w:val="en-US"/>
              </w:rPr>
              <w:lastRenderedPageBreak/>
              <w:t>DOMESTIC WATER DEMANDS</w:t>
            </w:r>
          </w:p>
        </w:tc>
      </w:tr>
      <w:tr w:rsidR="00634F34" w:rsidRPr="00AE6856" w:rsidTr="00F91A9C">
        <w:trPr>
          <w:tblHeader/>
        </w:trPr>
        <w:tc>
          <w:tcPr>
            <w:tcW w:w="3686" w:type="dxa"/>
            <w:tcBorders>
              <w:top w:val="single" w:sz="12" w:space="0" w:color="000000" w:themeColor="text1"/>
              <w:bottom w:val="single" w:sz="12" w:space="0" w:color="000000" w:themeColor="text1"/>
            </w:tcBorders>
            <w:vAlign w:val="center"/>
          </w:tcPr>
          <w:p w:rsidR="00634F34" w:rsidRPr="00AE6856" w:rsidRDefault="00807465" w:rsidP="002E3CE9">
            <w:pPr>
              <w:pStyle w:val="TableHeading"/>
            </w:pPr>
            <w:r>
              <w:t>Residential Housing</w:t>
            </w:r>
            <w:r>
              <w:br/>
              <w:t>(including gardening)</w:t>
            </w:r>
          </w:p>
        </w:tc>
        <w:tc>
          <w:tcPr>
            <w:tcW w:w="5386" w:type="dxa"/>
            <w:tcBorders>
              <w:top w:val="single" w:sz="12" w:space="0" w:color="000000" w:themeColor="text1"/>
              <w:bottom w:val="single" w:sz="12" w:space="0" w:color="000000" w:themeColor="text1"/>
            </w:tcBorders>
          </w:tcPr>
          <w:p w:rsidR="00634F34" w:rsidRPr="00AE6856" w:rsidRDefault="00807465" w:rsidP="00807465">
            <w:pPr>
              <w:pStyle w:val="TableHeading"/>
            </w:pPr>
            <w:r>
              <w:t>As per Fig 9.7 of the "Guidelines for Human Settlement Planning and Design</w:t>
            </w:r>
            <w:r w:rsidR="00B706E6">
              <w:t>"</w:t>
            </w:r>
          </w:p>
        </w:tc>
      </w:tr>
      <w:tr w:rsidR="00634F34" w:rsidRPr="00000D74" w:rsidTr="00F91A9C">
        <w:tc>
          <w:tcPr>
            <w:tcW w:w="3686" w:type="dxa"/>
            <w:tcBorders>
              <w:top w:val="single" w:sz="12" w:space="0" w:color="000000" w:themeColor="text1"/>
            </w:tcBorders>
            <w:vAlign w:val="center"/>
          </w:tcPr>
          <w:p w:rsidR="00634F34" w:rsidRPr="00085C1D" w:rsidRDefault="00807465" w:rsidP="002E3CE9">
            <w:pPr>
              <w:pStyle w:val="Table-Singlerowsentries"/>
            </w:pPr>
            <w:r>
              <w:t>Single quarters</w:t>
            </w:r>
          </w:p>
        </w:tc>
        <w:tc>
          <w:tcPr>
            <w:tcW w:w="5386" w:type="dxa"/>
            <w:tcBorders>
              <w:top w:val="single" w:sz="12" w:space="0" w:color="000000" w:themeColor="text1"/>
            </w:tcBorders>
            <w:vAlign w:val="center"/>
          </w:tcPr>
          <w:p w:rsidR="00634F34" w:rsidRPr="002560BC" w:rsidRDefault="00807465" w:rsidP="00807465">
            <w:pPr>
              <w:pStyle w:val="Table-Singlerowsentries"/>
              <w:jc w:val="center"/>
            </w:pPr>
            <w:r>
              <w:t>400</w:t>
            </w:r>
            <w:r w:rsidR="00A42489">
              <w:t xml:space="preserve"> </w:t>
            </w:r>
            <w:r w:rsidR="00634F34" w:rsidRPr="00A20C56">
              <w:t>ℓ</w:t>
            </w:r>
            <w:r>
              <w:t>/u/d</w:t>
            </w:r>
          </w:p>
        </w:tc>
      </w:tr>
      <w:tr w:rsidR="00634F34" w:rsidRPr="00000D74" w:rsidTr="00F91A9C">
        <w:tc>
          <w:tcPr>
            <w:tcW w:w="3686" w:type="dxa"/>
            <w:vAlign w:val="center"/>
          </w:tcPr>
          <w:p w:rsidR="00634F34" w:rsidRDefault="00807465" w:rsidP="002E3CE9">
            <w:pPr>
              <w:pStyle w:val="Table-Singlerowsentries"/>
            </w:pPr>
            <w:r>
              <w:t>Offices and administration</w:t>
            </w:r>
          </w:p>
        </w:tc>
        <w:tc>
          <w:tcPr>
            <w:tcW w:w="5386" w:type="dxa"/>
            <w:vAlign w:val="center"/>
          </w:tcPr>
          <w:p w:rsidR="00634F34" w:rsidRPr="00A20C56" w:rsidRDefault="00807465" w:rsidP="00807465">
            <w:pPr>
              <w:pStyle w:val="Table-Singlerowsentries"/>
              <w:jc w:val="center"/>
            </w:pPr>
            <w:r>
              <w:t>70</w:t>
            </w:r>
            <w:r w:rsidR="00A42489">
              <w:t xml:space="preserve"> </w:t>
            </w:r>
            <w:r w:rsidRPr="00A20C56">
              <w:t>ℓ</w:t>
            </w:r>
            <w:r>
              <w:t>/p/d or 400</w:t>
            </w:r>
            <w:r w:rsidR="00A42489">
              <w:t xml:space="preserve"> </w:t>
            </w:r>
            <w:r w:rsidRPr="00A20C56">
              <w:t>ℓ</w:t>
            </w:r>
            <w:r>
              <w:t>/100m</w:t>
            </w:r>
            <w:r w:rsidRPr="00807465">
              <w:rPr>
                <w:vertAlign w:val="superscript"/>
              </w:rPr>
              <w:t>2</w:t>
            </w:r>
            <w:r>
              <w:t>/d</w:t>
            </w:r>
          </w:p>
        </w:tc>
      </w:tr>
      <w:tr w:rsidR="00634F34" w:rsidRPr="00000D74" w:rsidTr="00F91A9C">
        <w:tc>
          <w:tcPr>
            <w:tcW w:w="3686" w:type="dxa"/>
            <w:vAlign w:val="center"/>
          </w:tcPr>
          <w:p w:rsidR="00634F34" w:rsidRDefault="00807465" w:rsidP="002E3CE9">
            <w:pPr>
              <w:pStyle w:val="Table-Singlerowsentries"/>
            </w:pPr>
            <w:r>
              <w:t>Kitchen/dining</w:t>
            </w:r>
          </w:p>
        </w:tc>
        <w:tc>
          <w:tcPr>
            <w:tcW w:w="5386" w:type="dxa"/>
            <w:vAlign w:val="center"/>
          </w:tcPr>
          <w:p w:rsidR="00634F34" w:rsidRDefault="00807465" w:rsidP="00807465">
            <w:pPr>
              <w:pStyle w:val="Table-Singlerowsentries"/>
              <w:jc w:val="center"/>
            </w:pPr>
            <w:r>
              <w:t>90</w:t>
            </w:r>
            <w:r w:rsidR="00A42489">
              <w:t xml:space="preserve"> </w:t>
            </w:r>
            <w:r w:rsidRPr="00A20C56">
              <w:t>ℓ</w:t>
            </w:r>
            <w:r>
              <w:t>/</w:t>
            </w:r>
            <w:r w:rsidR="004A1775">
              <w:t>p/</w:t>
            </w:r>
            <w:r>
              <w:t>d</w:t>
            </w:r>
          </w:p>
        </w:tc>
      </w:tr>
      <w:tr w:rsidR="00807465" w:rsidRPr="00000D74" w:rsidTr="00F91A9C">
        <w:tc>
          <w:tcPr>
            <w:tcW w:w="3686" w:type="dxa"/>
            <w:vAlign w:val="center"/>
          </w:tcPr>
          <w:p w:rsidR="00807465" w:rsidRDefault="00807465" w:rsidP="00807465">
            <w:pPr>
              <w:pStyle w:val="Table-Singlerowsentries"/>
            </w:pPr>
            <w:r>
              <w:t>Clinic</w:t>
            </w:r>
          </w:p>
        </w:tc>
        <w:tc>
          <w:tcPr>
            <w:tcW w:w="5386" w:type="dxa"/>
            <w:vAlign w:val="center"/>
          </w:tcPr>
          <w:p w:rsidR="00807465" w:rsidRDefault="00807465" w:rsidP="00C86AB5">
            <w:pPr>
              <w:pStyle w:val="Table-Singlerowsentries"/>
              <w:jc w:val="center"/>
            </w:pPr>
            <w:r>
              <w:t>250</w:t>
            </w:r>
            <w:r w:rsidR="00A42489">
              <w:t xml:space="preserve"> </w:t>
            </w:r>
            <w:r w:rsidRPr="00A20C56">
              <w:t>ℓ</w:t>
            </w:r>
            <w:r>
              <w:t>/b/d or 500</w:t>
            </w:r>
            <w:r w:rsidR="00A42489">
              <w:t xml:space="preserve"> </w:t>
            </w:r>
            <w:r w:rsidRPr="00A20C56">
              <w:t>ℓ</w:t>
            </w:r>
            <w:r>
              <w:t>/100m</w:t>
            </w:r>
            <w:r w:rsidRPr="00807465">
              <w:rPr>
                <w:vertAlign w:val="superscript"/>
              </w:rPr>
              <w:t>2</w:t>
            </w:r>
            <w:r>
              <w:t>/d</w:t>
            </w:r>
          </w:p>
        </w:tc>
      </w:tr>
      <w:tr w:rsidR="00807465" w:rsidRPr="00000D74" w:rsidTr="00F91A9C">
        <w:tc>
          <w:tcPr>
            <w:tcW w:w="3686" w:type="dxa"/>
            <w:vAlign w:val="center"/>
          </w:tcPr>
          <w:p w:rsidR="00807465" w:rsidRDefault="00807465" w:rsidP="00807465">
            <w:pPr>
              <w:pStyle w:val="Table-Singlerowsentries"/>
            </w:pPr>
            <w:r>
              <w:t>Laundry</w:t>
            </w:r>
          </w:p>
        </w:tc>
        <w:tc>
          <w:tcPr>
            <w:tcW w:w="5386" w:type="dxa"/>
            <w:vAlign w:val="center"/>
          </w:tcPr>
          <w:p w:rsidR="00807465" w:rsidRDefault="00807465" w:rsidP="002E3CE9">
            <w:pPr>
              <w:pStyle w:val="Table-Singlerowsentries"/>
              <w:jc w:val="center"/>
            </w:pPr>
            <w:r>
              <w:t>15</w:t>
            </w:r>
            <w:r w:rsidRPr="00A20C56">
              <w:t xml:space="preserve"> ℓ</w:t>
            </w:r>
            <w:r>
              <w:t>/p/d</w:t>
            </w:r>
          </w:p>
        </w:tc>
      </w:tr>
      <w:tr w:rsidR="00807465" w:rsidRPr="00000D74" w:rsidTr="00F91A9C">
        <w:tc>
          <w:tcPr>
            <w:tcW w:w="3686" w:type="dxa"/>
            <w:vAlign w:val="center"/>
          </w:tcPr>
          <w:p w:rsidR="00807465" w:rsidRDefault="00807465" w:rsidP="00807465">
            <w:pPr>
              <w:pStyle w:val="Table-Singlerowsentries"/>
            </w:pPr>
            <w:r>
              <w:t>Schools</w:t>
            </w:r>
          </w:p>
        </w:tc>
        <w:tc>
          <w:tcPr>
            <w:tcW w:w="5386" w:type="dxa"/>
            <w:vAlign w:val="center"/>
          </w:tcPr>
          <w:p w:rsidR="00807465" w:rsidRDefault="00807465" w:rsidP="002E3CE9">
            <w:pPr>
              <w:pStyle w:val="Table-Singlerowsentries"/>
              <w:jc w:val="center"/>
            </w:pPr>
            <w:r>
              <w:t>18</w:t>
            </w:r>
            <w:r w:rsidR="00A42489">
              <w:t xml:space="preserve"> </w:t>
            </w:r>
            <w:r w:rsidRPr="00A20C56">
              <w:t>ℓ</w:t>
            </w:r>
            <w:r>
              <w:t>/p/d</w:t>
            </w:r>
          </w:p>
        </w:tc>
      </w:tr>
      <w:tr w:rsidR="00807465" w:rsidRPr="00000D74" w:rsidTr="00F91A9C">
        <w:tc>
          <w:tcPr>
            <w:tcW w:w="3686" w:type="dxa"/>
            <w:vAlign w:val="center"/>
          </w:tcPr>
          <w:p w:rsidR="00807465" w:rsidRDefault="00807465" w:rsidP="00807465">
            <w:pPr>
              <w:pStyle w:val="Table-Singlerowsentries"/>
            </w:pPr>
            <w:r>
              <w:t>Colleges</w:t>
            </w:r>
          </w:p>
        </w:tc>
        <w:tc>
          <w:tcPr>
            <w:tcW w:w="5386" w:type="dxa"/>
            <w:vAlign w:val="center"/>
          </w:tcPr>
          <w:p w:rsidR="00807465" w:rsidRDefault="00807465" w:rsidP="002E3CE9">
            <w:pPr>
              <w:pStyle w:val="Table-Singlerowsentries"/>
              <w:jc w:val="center"/>
            </w:pPr>
            <w:r>
              <w:t>45</w:t>
            </w:r>
            <w:r w:rsidR="00A42489">
              <w:t xml:space="preserve"> </w:t>
            </w:r>
            <w:r w:rsidRPr="00A20C56">
              <w:t>ℓ</w:t>
            </w:r>
            <w:r>
              <w:t>/p/d</w:t>
            </w:r>
          </w:p>
        </w:tc>
      </w:tr>
      <w:tr w:rsidR="00807465" w:rsidRPr="00000D74" w:rsidTr="00F91A9C">
        <w:tc>
          <w:tcPr>
            <w:tcW w:w="3686" w:type="dxa"/>
            <w:vAlign w:val="center"/>
          </w:tcPr>
          <w:p w:rsidR="00807465" w:rsidRDefault="00807465" w:rsidP="00807465">
            <w:pPr>
              <w:pStyle w:val="Table-Singlerowsentries"/>
            </w:pPr>
            <w:r>
              <w:t>Maintenance</w:t>
            </w:r>
          </w:p>
        </w:tc>
        <w:tc>
          <w:tcPr>
            <w:tcW w:w="5386" w:type="dxa"/>
            <w:vAlign w:val="center"/>
          </w:tcPr>
          <w:p w:rsidR="00807465" w:rsidRDefault="00807465" w:rsidP="002E3CE9">
            <w:pPr>
              <w:pStyle w:val="Table-Singlerowsentries"/>
              <w:jc w:val="center"/>
            </w:pPr>
            <w:r>
              <w:t>1,5% of total water demand</w:t>
            </w:r>
          </w:p>
        </w:tc>
      </w:tr>
      <w:tr w:rsidR="00807465" w:rsidRPr="00000D74" w:rsidTr="00F91A9C">
        <w:tc>
          <w:tcPr>
            <w:tcW w:w="3686" w:type="dxa"/>
            <w:vAlign w:val="center"/>
          </w:tcPr>
          <w:p w:rsidR="00807465" w:rsidRDefault="00807465" w:rsidP="00807465">
            <w:pPr>
              <w:pStyle w:val="Table-Singlerowsentries"/>
            </w:pPr>
            <w:r>
              <w:t>Canteen</w:t>
            </w:r>
          </w:p>
        </w:tc>
        <w:tc>
          <w:tcPr>
            <w:tcW w:w="5386" w:type="dxa"/>
            <w:vAlign w:val="center"/>
          </w:tcPr>
          <w:p w:rsidR="00807465" w:rsidRDefault="00807465" w:rsidP="00807465">
            <w:pPr>
              <w:pStyle w:val="Table-Singlerowsentries"/>
              <w:jc w:val="center"/>
            </w:pPr>
            <w:r>
              <w:t>60</w:t>
            </w:r>
            <w:r w:rsidR="00A42489">
              <w:t xml:space="preserve"> </w:t>
            </w:r>
            <w:r w:rsidRPr="00A20C56">
              <w:t>ℓ</w:t>
            </w:r>
            <w:r>
              <w:t>/10m</w:t>
            </w:r>
            <w:r w:rsidRPr="00807465">
              <w:rPr>
                <w:vertAlign w:val="superscript"/>
              </w:rPr>
              <w:t>2</w:t>
            </w:r>
            <w:r>
              <w:t>/d</w:t>
            </w:r>
          </w:p>
        </w:tc>
      </w:tr>
      <w:tr w:rsidR="00807465" w:rsidRPr="00000D74" w:rsidTr="00F91A9C">
        <w:tc>
          <w:tcPr>
            <w:tcW w:w="3686" w:type="dxa"/>
            <w:vAlign w:val="center"/>
          </w:tcPr>
          <w:p w:rsidR="00807465" w:rsidRDefault="00807465" w:rsidP="00807465">
            <w:pPr>
              <w:pStyle w:val="Table-Singlerowsentries"/>
            </w:pPr>
            <w:r>
              <w:t>Vocational</w:t>
            </w:r>
          </w:p>
        </w:tc>
        <w:tc>
          <w:tcPr>
            <w:tcW w:w="5386" w:type="dxa"/>
            <w:vAlign w:val="center"/>
          </w:tcPr>
          <w:p w:rsidR="00807465" w:rsidRDefault="00600EF7" w:rsidP="002E3CE9">
            <w:pPr>
              <w:pStyle w:val="Table-Singlerowsentries"/>
              <w:jc w:val="center"/>
            </w:pPr>
            <w:r>
              <w:t>100</w:t>
            </w:r>
            <w:r w:rsidR="00A42489">
              <w:t xml:space="preserve"> </w:t>
            </w:r>
            <w:r w:rsidRPr="00A20C56">
              <w:t>ℓ</w:t>
            </w:r>
            <w:r>
              <w:t>/trainee/d</w:t>
            </w:r>
          </w:p>
        </w:tc>
      </w:tr>
      <w:tr w:rsidR="00807465" w:rsidRPr="00000D74" w:rsidTr="00F91A9C">
        <w:tc>
          <w:tcPr>
            <w:tcW w:w="3686" w:type="dxa"/>
            <w:vAlign w:val="center"/>
          </w:tcPr>
          <w:p w:rsidR="00807465" w:rsidRDefault="00807465" w:rsidP="00807465">
            <w:pPr>
              <w:pStyle w:val="Table-Singlerowsentries"/>
            </w:pPr>
            <w:r>
              <w:t>Industrial manufacturing/repair</w:t>
            </w:r>
          </w:p>
        </w:tc>
        <w:tc>
          <w:tcPr>
            <w:tcW w:w="5386" w:type="dxa"/>
            <w:vAlign w:val="center"/>
          </w:tcPr>
          <w:p w:rsidR="00807465" w:rsidRDefault="00600EF7" w:rsidP="00600EF7">
            <w:pPr>
              <w:pStyle w:val="Table-Singlerowsentries"/>
              <w:jc w:val="center"/>
            </w:pPr>
            <w:r>
              <w:t>400</w:t>
            </w:r>
            <w:r w:rsidR="00A42489">
              <w:t xml:space="preserve"> </w:t>
            </w:r>
            <w:r w:rsidRPr="00A20C56">
              <w:t>ℓ</w:t>
            </w:r>
            <w:r>
              <w:t>/100m</w:t>
            </w:r>
            <w:r w:rsidRPr="00600EF7">
              <w:rPr>
                <w:vertAlign w:val="superscript"/>
              </w:rPr>
              <w:t>2</w:t>
            </w:r>
            <w:r>
              <w:t>/d</w:t>
            </w:r>
          </w:p>
        </w:tc>
      </w:tr>
      <w:tr w:rsidR="00807465" w:rsidRPr="00000D74" w:rsidTr="00F91A9C">
        <w:tc>
          <w:tcPr>
            <w:tcW w:w="3686" w:type="dxa"/>
            <w:vAlign w:val="center"/>
          </w:tcPr>
          <w:p w:rsidR="00807465" w:rsidRDefault="00807465" w:rsidP="00807465">
            <w:pPr>
              <w:pStyle w:val="Table-Singlerowsentries"/>
            </w:pPr>
            <w:r>
              <w:t>Church/chapel</w:t>
            </w:r>
          </w:p>
        </w:tc>
        <w:tc>
          <w:tcPr>
            <w:tcW w:w="5386" w:type="dxa"/>
            <w:vAlign w:val="center"/>
          </w:tcPr>
          <w:p w:rsidR="00807465" w:rsidRDefault="00600EF7" w:rsidP="00600EF7">
            <w:pPr>
              <w:pStyle w:val="Table-Singlerowsentries"/>
              <w:jc w:val="center"/>
            </w:pPr>
            <w:r>
              <w:t>20</w:t>
            </w:r>
            <w:r w:rsidR="00A42489">
              <w:t xml:space="preserve"> </w:t>
            </w:r>
            <w:r w:rsidRPr="00A20C56">
              <w:t>ℓ</w:t>
            </w:r>
            <w:r>
              <w:t>/p/d or 2000</w:t>
            </w:r>
            <w:r w:rsidR="00A42489">
              <w:t xml:space="preserve"> </w:t>
            </w:r>
            <w:r w:rsidRPr="00A20C56">
              <w:t>ℓ</w:t>
            </w:r>
            <w:r>
              <w:t>/stand/d (including gardening)</w:t>
            </w:r>
          </w:p>
        </w:tc>
      </w:tr>
      <w:tr w:rsidR="00807465" w:rsidRPr="00000D74" w:rsidTr="00F91A9C">
        <w:tc>
          <w:tcPr>
            <w:tcW w:w="3686" w:type="dxa"/>
            <w:vAlign w:val="center"/>
          </w:tcPr>
          <w:p w:rsidR="00807465" w:rsidRDefault="00807465" w:rsidP="00807465">
            <w:pPr>
              <w:pStyle w:val="Table-Singlerowsentries"/>
            </w:pPr>
            <w:r>
              <w:t>Commercial (shops/petrol station)</w:t>
            </w:r>
          </w:p>
        </w:tc>
        <w:tc>
          <w:tcPr>
            <w:tcW w:w="5386" w:type="dxa"/>
            <w:vAlign w:val="center"/>
          </w:tcPr>
          <w:p w:rsidR="00807465" w:rsidRDefault="00600EF7" w:rsidP="002E3CE9">
            <w:pPr>
              <w:pStyle w:val="Table-Singlerowsentries"/>
              <w:jc w:val="center"/>
            </w:pPr>
            <w:r>
              <w:t>10</w:t>
            </w:r>
            <w:r w:rsidR="00A42489">
              <w:t xml:space="preserve"> </w:t>
            </w:r>
            <w:r w:rsidRPr="00A20C56">
              <w:t>ℓ</w:t>
            </w:r>
            <w:r>
              <w:t>/10m</w:t>
            </w:r>
            <w:r w:rsidRPr="00807465">
              <w:rPr>
                <w:vertAlign w:val="superscript"/>
              </w:rPr>
              <w:t>2</w:t>
            </w:r>
            <w:r>
              <w:t>/d</w:t>
            </w:r>
          </w:p>
        </w:tc>
      </w:tr>
    </w:tbl>
    <w:p w:rsidR="00C86AB5" w:rsidRPr="00C86AB5" w:rsidRDefault="00C86AB5" w:rsidP="00C86AB5">
      <w:pPr>
        <w:spacing w:before="0" w:after="0"/>
        <w:rPr>
          <w:sz w:val="20"/>
          <w:szCs w:val="20"/>
        </w:rPr>
      </w:pPr>
    </w:p>
    <w:tbl>
      <w:tblPr>
        <w:tblStyle w:val="TableGrid"/>
        <w:tblW w:w="9117" w:type="dxa"/>
        <w:tblInd w:w="817"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tblPr>
      <w:tblGrid>
        <w:gridCol w:w="623"/>
        <w:gridCol w:w="373"/>
        <w:gridCol w:w="763"/>
        <w:gridCol w:w="1417"/>
        <w:gridCol w:w="737"/>
        <w:gridCol w:w="373"/>
        <w:gridCol w:w="878"/>
        <w:gridCol w:w="1417"/>
        <w:gridCol w:w="755"/>
        <w:gridCol w:w="375"/>
        <w:gridCol w:w="879"/>
        <w:gridCol w:w="527"/>
      </w:tblGrid>
      <w:tr w:rsidR="00737FE6" w:rsidTr="00F962FB">
        <w:tc>
          <w:tcPr>
            <w:tcW w:w="9117" w:type="dxa"/>
            <w:gridSpan w:val="12"/>
            <w:tcBorders>
              <w:top w:val="single" w:sz="12" w:space="0" w:color="auto"/>
              <w:bottom w:val="single" w:sz="6" w:space="0" w:color="auto"/>
            </w:tcBorders>
            <w:vAlign w:val="center"/>
          </w:tcPr>
          <w:p w:rsidR="00737FE6" w:rsidRPr="00FD338B" w:rsidRDefault="00737FE6" w:rsidP="00737FE6">
            <w:pPr>
              <w:pStyle w:val="Table-Singlerowsentries"/>
              <w:rPr>
                <w:b/>
              </w:rPr>
            </w:pPr>
            <w:r w:rsidRPr="00FD338B">
              <w:rPr>
                <w:b/>
              </w:rPr>
              <w:t>LEGEND:</w:t>
            </w:r>
          </w:p>
        </w:tc>
      </w:tr>
      <w:tr w:rsidR="00737FE6" w:rsidRPr="00737FE6" w:rsidTr="00F962FB">
        <w:tc>
          <w:tcPr>
            <w:tcW w:w="623" w:type="dxa"/>
            <w:tcBorders>
              <w:top w:val="single" w:sz="6" w:space="0" w:color="auto"/>
            </w:tcBorders>
            <w:vAlign w:val="center"/>
          </w:tcPr>
          <w:p w:rsidR="00737FE6" w:rsidRPr="00737FE6" w:rsidRDefault="00737FE6" w:rsidP="00737FE6">
            <w:pPr>
              <w:pStyle w:val="Table-Singlerowsentries"/>
              <w:jc w:val="center"/>
              <w:rPr>
                <w:b/>
                <w:i/>
              </w:rPr>
            </w:pPr>
            <w:r w:rsidRPr="00737FE6">
              <w:rPr>
                <w:b/>
                <w:i/>
              </w:rPr>
              <w:t>ℓ</w:t>
            </w:r>
          </w:p>
        </w:tc>
        <w:tc>
          <w:tcPr>
            <w:tcW w:w="373" w:type="dxa"/>
            <w:tcBorders>
              <w:top w:val="single" w:sz="6" w:space="0" w:color="auto"/>
            </w:tcBorders>
            <w:vAlign w:val="center"/>
          </w:tcPr>
          <w:p w:rsidR="00737FE6" w:rsidRPr="00737FE6" w:rsidRDefault="00737FE6" w:rsidP="00737FE6">
            <w:pPr>
              <w:pStyle w:val="Table-Singlerowsentries"/>
              <w:jc w:val="center"/>
              <w:rPr>
                <w:i/>
              </w:rPr>
            </w:pPr>
            <w:r w:rsidRPr="00737FE6">
              <w:rPr>
                <w:i/>
              </w:rPr>
              <w:t>=</w:t>
            </w:r>
          </w:p>
        </w:tc>
        <w:tc>
          <w:tcPr>
            <w:tcW w:w="763" w:type="dxa"/>
            <w:tcBorders>
              <w:top w:val="single" w:sz="6" w:space="0" w:color="auto"/>
            </w:tcBorders>
            <w:vAlign w:val="center"/>
          </w:tcPr>
          <w:p w:rsidR="00737FE6" w:rsidRPr="00737FE6" w:rsidRDefault="00737FE6" w:rsidP="00737FE6">
            <w:pPr>
              <w:pStyle w:val="Table-Singlerowsentries"/>
              <w:jc w:val="center"/>
              <w:rPr>
                <w:i/>
              </w:rPr>
            </w:pPr>
            <w:r w:rsidRPr="00737FE6">
              <w:rPr>
                <w:i/>
              </w:rPr>
              <w:t>Lit</w:t>
            </w:r>
            <w:r w:rsidR="00E92B44">
              <w:rPr>
                <w:i/>
              </w:rPr>
              <w:t>re</w:t>
            </w:r>
          </w:p>
        </w:tc>
        <w:tc>
          <w:tcPr>
            <w:tcW w:w="1417" w:type="dxa"/>
            <w:tcBorders>
              <w:top w:val="single" w:sz="6" w:space="0" w:color="auto"/>
            </w:tcBorders>
            <w:vAlign w:val="center"/>
          </w:tcPr>
          <w:p w:rsidR="00737FE6" w:rsidRPr="00737FE6" w:rsidRDefault="00737FE6" w:rsidP="00737FE6">
            <w:pPr>
              <w:pStyle w:val="Table-Singlerowsentries"/>
              <w:jc w:val="center"/>
              <w:rPr>
                <w:i/>
              </w:rPr>
            </w:pPr>
          </w:p>
        </w:tc>
        <w:tc>
          <w:tcPr>
            <w:tcW w:w="737" w:type="dxa"/>
            <w:tcBorders>
              <w:top w:val="single" w:sz="6" w:space="0" w:color="auto"/>
            </w:tcBorders>
            <w:vAlign w:val="center"/>
          </w:tcPr>
          <w:p w:rsidR="00737FE6" w:rsidRPr="00737FE6" w:rsidRDefault="00737FE6" w:rsidP="00737FE6">
            <w:pPr>
              <w:pStyle w:val="Table-Singlerowsentries"/>
              <w:jc w:val="center"/>
              <w:rPr>
                <w:b/>
                <w:i/>
              </w:rPr>
            </w:pPr>
            <w:r>
              <w:rPr>
                <w:b/>
                <w:i/>
              </w:rPr>
              <w:t>d</w:t>
            </w:r>
          </w:p>
        </w:tc>
        <w:tc>
          <w:tcPr>
            <w:tcW w:w="373" w:type="dxa"/>
            <w:tcBorders>
              <w:top w:val="single" w:sz="6" w:space="0" w:color="auto"/>
            </w:tcBorders>
            <w:vAlign w:val="center"/>
          </w:tcPr>
          <w:p w:rsidR="00737FE6" w:rsidRPr="00737FE6" w:rsidRDefault="00737FE6" w:rsidP="00737FE6">
            <w:pPr>
              <w:pStyle w:val="Table-Singlerowsentries"/>
              <w:jc w:val="center"/>
              <w:rPr>
                <w:i/>
              </w:rPr>
            </w:pPr>
            <w:r w:rsidRPr="00737FE6">
              <w:rPr>
                <w:i/>
              </w:rPr>
              <w:t>=</w:t>
            </w:r>
          </w:p>
        </w:tc>
        <w:tc>
          <w:tcPr>
            <w:tcW w:w="878" w:type="dxa"/>
            <w:tcBorders>
              <w:top w:val="single" w:sz="6" w:space="0" w:color="auto"/>
            </w:tcBorders>
            <w:vAlign w:val="center"/>
          </w:tcPr>
          <w:p w:rsidR="00737FE6" w:rsidRPr="00737FE6" w:rsidRDefault="00737FE6" w:rsidP="00737FE6">
            <w:pPr>
              <w:pStyle w:val="Table-Singlerowsentries"/>
              <w:jc w:val="center"/>
              <w:rPr>
                <w:i/>
              </w:rPr>
            </w:pPr>
            <w:r>
              <w:rPr>
                <w:i/>
              </w:rPr>
              <w:t>Day</w:t>
            </w:r>
          </w:p>
        </w:tc>
        <w:tc>
          <w:tcPr>
            <w:tcW w:w="1417" w:type="dxa"/>
            <w:tcBorders>
              <w:top w:val="single" w:sz="6" w:space="0" w:color="auto"/>
            </w:tcBorders>
            <w:vAlign w:val="center"/>
          </w:tcPr>
          <w:p w:rsidR="00737FE6" w:rsidRPr="00737FE6" w:rsidRDefault="00737FE6" w:rsidP="00737FE6">
            <w:pPr>
              <w:pStyle w:val="Table-Singlerowsentries"/>
              <w:jc w:val="center"/>
              <w:rPr>
                <w:i/>
              </w:rPr>
            </w:pPr>
          </w:p>
        </w:tc>
        <w:tc>
          <w:tcPr>
            <w:tcW w:w="755" w:type="dxa"/>
            <w:tcBorders>
              <w:top w:val="single" w:sz="6" w:space="0" w:color="auto"/>
            </w:tcBorders>
            <w:vAlign w:val="center"/>
          </w:tcPr>
          <w:p w:rsidR="00737FE6" w:rsidRPr="00737FE6" w:rsidRDefault="00737FE6" w:rsidP="00737FE6">
            <w:pPr>
              <w:pStyle w:val="Table-Singlerowsentries"/>
              <w:jc w:val="center"/>
              <w:rPr>
                <w:b/>
                <w:i/>
              </w:rPr>
            </w:pPr>
            <w:r>
              <w:rPr>
                <w:b/>
                <w:i/>
              </w:rPr>
              <w:t>b</w:t>
            </w:r>
          </w:p>
        </w:tc>
        <w:tc>
          <w:tcPr>
            <w:tcW w:w="375" w:type="dxa"/>
            <w:tcBorders>
              <w:top w:val="single" w:sz="6" w:space="0" w:color="auto"/>
            </w:tcBorders>
            <w:vAlign w:val="center"/>
          </w:tcPr>
          <w:p w:rsidR="00737FE6" w:rsidRPr="00737FE6" w:rsidRDefault="00737FE6" w:rsidP="00737FE6">
            <w:pPr>
              <w:pStyle w:val="Table-Singlerowsentries"/>
              <w:jc w:val="center"/>
              <w:rPr>
                <w:i/>
              </w:rPr>
            </w:pPr>
            <w:r>
              <w:rPr>
                <w:i/>
              </w:rPr>
              <w:t>=</w:t>
            </w:r>
          </w:p>
        </w:tc>
        <w:tc>
          <w:tcPr>
            <w:tcW w:w="879" w:type="dxa"/>
            <w:tcBorders>
              <w:top w:val="single" w:sz="6" w:space="0" w:color="auto"/>
            </w:tcBorders>
            <w:vAlign w:val="center"/>
          </w:tcPr>
          <w:p w:rsidR="00737FE6" w:rsidRPr="00737FE6" w:rsidRDefault="00737FE6" w:rsidP="00737FE6">
            <w:pPr>
              <w:pStyle w:val="Table-Singlerowsentries"/>
              <w:jc w:val="center"/>
              <w:rPr>
                <w:i/>
              </w:rPr>
            </w:pPr>
            <w:r>
              <w:rPr>
                <w:i/>
              </w:rPr>
              <w:t>Bed</w:t>
            </w:r>
          </w:p>
        </w:tc>
        <w:tc>
          <w:tcPr>
            <w:tcW w:w="527" w:type="dxa"/>
            <w:tcBorders>
              <w:top w:val="single" w:sz="6" w:space="0" w:color="auto"/>
            </w:tcBorders>
            <w:vAlign w:val="center"/>
          </w:tcPr>
          <w:p w:rsidR="00737FE6" w:rsidRPr="00737FE6" w:rsidRDefault="00737FE6" w:rsidP="00737FE6">
            <w:pPr>
              <w:pStyle w:val="Table-Singlerowsentries"/>
              <w:jc w:val="center"/>
              <w:rPr>
                <w:i/>
              </w:rPr>
            </w:pPr>
          </w:p>
        </w:tc>
      </w:tr>
      <w:tr w:rsidR="00737FE6" w:rsidRPr="00737FE6" w:rsidTr="00F962FB">
        <w:tc>
          <w:tcPr>
            <w:tcW w:w="623" w:type="dxa"/>
            <w:vAlign w:val="center"/>
          </w:tcPr>
          <w:p w:rsidR="00737FE6" w:rsidRPr="00737FE6" w:rsidRDefault="00737FE6" w:rsidP="00737FE6">
            <w:pPr>
              <w:pStyle w:val="Table-Singlerowsentries"/>
              <w:jc w:val="center"/>
              <w:rPr>
                <w:b/>
                <w:i/>
              </w:rPr>
            </w:pPr>
            <w:r>
              <w:rPr>
                <w:b/>
                <w:i/>
              </w:rPr>
              <w:t>u</w:t>
            </w:r>
          </w:p>
        </w:tc>
        <w:tc>
          <w:tcPr>
            <w:tcW w:w="373" w:type="dxa"/>
            <w:vAlign w:val="center"/>
          </w:tcPr>
          <w:p w:rsidR="00737FE6" w:rsidRPr="00737FE6" w:rsidRDefault="00737FE6" w:rsidP="00737FE6">
            <w:pPr>
              <w:pStyle w:val="Table-Singlerowsentries"/>
              <w:jc w:val="center"/>
              <w:rPr>
                <w:i/>
              </w:rPr>
            </w:pPr>
            <w:r w:rsidRPr="00737FE6">
              <w:rPr>
                <w:i/>
              </w:rPr>
              <w:t>=</w:t>
            </w:r>
          </w:p>
        </w:tc>
        <w:tc>
          <w:tcPr>
            <w:tcW w:w="763" w:type="dxa"/>
            <w:vAlign w:val="center"/>
          </w:tcPr>
          <w:p w:rsidR="00737FE6" w:rsidRPr="00737FE6" w:rsidRDefault="00737FE6" w:rsidP="00737FE6">
            <w:pPr>
              <w:pStyle w:val="Table-Singlerowsentries"/>
              <w:jc w:val="center"/>
              <w:rPr>
                <w:i/>
              </w:rPr>
            </w:pPr>
            <w:r>
              <w:rPr>
                <w:i/>
              </w:rPr>
              <w:t>Unit</w:t>
            </w:r>
          </w:p>
        </w:tc>
        <w:tc>
          <w:tcPr>
            <w:tcW w:w="1417" w:type="dxa"/>
            <w:vAlign w:val="center"/>
          </w:tcPr>
          <w:p w:rsidR="00737FE6" w:rsidRPr="00737FE6" w:rsidRDefault="00737FE6" w:rsidP="00737FE6">
            <w:pPr>
              <w:pStyle w:val="Table-Singlerowsentries"/>
              <w:jc w:val="center"/>
              <w:rPr>
                <w:i/>
              </w:rPr>
            </w:pPr>
          </w:p>
        </w:tc>
        <w:tc>
          <w:tcPr>
            <w:tcW w:w="737" w:type="dxa"/>
            <w:vAlign w:val="center"/>
          </w:tcPr>
          <w:p w:rsidR="00737FE6" w:rsidRPr="00737FE6" w:rsidRDefault="009F6878" w:rsidP="00737FE6">
            <w:pPr>
              <w:pStyle w:val="Table-Singlerowsentries"/>
              <w:jc w:val="center"/>
              <w:rPr>
                <w:b/>
                <w:i/>
              </w:rPr>
            </w:pPr>
            <w:r>
              <w:rPr>
                <w:b/>
                <w:i/>
              </w:rPr>
              <w:t>p</w:t>
            </w:r>
          </w:p>
        </w:tc>
        <w:tc>
          <w:tcPr>
            <w:tcW w:w="373" w:type="dxa"/>
            <w:vAlign w:val="center"/>
          </w:tcPr>
          <w:p w:rsidR="00737FE6" w:rsidRPr="00737FE6" w:rsidRDefault="009F6878" w:rsidP="00737FE6">
            <w:pPr>
              <w:pStyle w:val="Table-Singlerowsentries"/>
              <w:jc w:val="center"/>
              <w:rPr>
                <w:i/>
              </w:rPr>
            </w:pPr>
            <w:r>
              <w:rPr>
                <w:i/>
              </w:rPr>
              <w:t>=</w:t>
            </w:r>
          </w:p>
        </w:tc>
        <w:tc>
          <w:tcPr>
            <w:tcW w:w="878" w:type="dxa"/>
            <w:vAlign w:val="center"/>
          </w:tcPr>
          <w:p w:rsidR="00737FE6" w:rsidRPr="00737FE6" w:rsidRDefault="009F6878" w:rsidP="00737FE6">
            <w:pPr>
              <w:pStyle w:val="Table-Singlerowsentries"/>
              <w:jc w:val="center"/>
              <w:rPr>
                <w:i/>
              </w:rPr>
            </w:pPr>
            <w:r>
              <w:rPr>
                <w:i/>
              </w:rPr>
              <w:t>Person</w:t>
            </w:r>
          </w:p>
        </w:tc>
        <w:tc>
          <w:tcPr>
            <w:tcW w:w="1417" w:type="dxa"/>
            <w:vAlign w:val="center"/>
          </w:tcPr>
          <w:p w:rsidR="00737FE6" w:rsidRPr="00737FE6" w:rsidRDefault="00737FE6" w:rsidP="00737FE6">
            <w:pPr>
              <w:pStyle w:val="Table-Singlerowsentries"/>
              <w:jc w:val="center"/>
              <w:rPr>
                <w:i/>
              </w:rPr>
            </w:pPr>
          </w:p>
        </w:tc>
        <w:tc>
          <w:tcPr>
            <w:tcW w:w="755" w:type="dxa"/>
            <w:vAlign w:val="center"/>
          </w:tcPr>
          <w:p w:rsidR="00737FE6" w:rsidRPr="00737FE6" w:rsidRDefault="00737FE6" w:rsidP="00737FE6">
            <w:pPr>
              <w:pStyle w:val="Table-Singlerowsentries"/>
              <w:jc w:val="center"/>
              <w:rPr>
                <w:i/>
              </w:rPr>
            </w:pPr>
          </w:p>
        </w:tc>
        <w:tc>
          <w:tcPr>
            <w:tcW w:w="375" w:type="dxa"/>
            <w:vAlign w:val="center"/>
          </w:tcPr>
          <w:p w:rsidR="00737FE6" w:rsidRPr="00737FE6" w:rsidRDefault="00737FE6" w:rsidP="00737FE6">
            <w:pPr>
              <w:pStyle w:val="Table-Singlerowsentries"/>
              <w:jc w:val="center"/>
              <w:rPr>
                <w:i/>
              </w:rPr>
            </w:pPr>
          </w:p>
        </w:tc>
        <w:tc>
          <w:tcPr>
            <w:tcW w:w="879" w:type="dxa"/>
            <w:vAlign w:val="center"/>
          </w:tcPr>
          <w:p w:rsidR="00737FE6" w:rsidRPr="00737FE6" w:rsidRDefault="00737FE6" w:rsidP="00737FE6">
            <w:pPr>
              <w:pStyle w:val="Table-Singlerowsentries"/>
              <w:jc w:val="center"/>
              <w:rPr>
                <w:i/>
              </w:rPr>
            </w:pPr>
          </w:p>
        </w:tc>
        <w:tc>
          <w:tcPr>
            <w:tcW w:w="527" w:type="dxa"/>
            <w:vAlign w:val="center"/>
          </w:tcPr>
          <w:p w:rsidR="00737FE6" w:rsidRPr="00737FE6" w:rsidRDefault="00737FE6" w:rsidP="00737FE6">
            <w:pPr>
              <w:pStyle w:val="Table-Singlerowsentries"/>
              <w:jc w:val="center"/>
              <w:rPr>
                <w:i/>
              </w:rPr>
            </w:pPr>
          </w:p>
        </w:tc>
      </w:tr>
    </w:tbl>
    <w:p w:rsidR="00737FE6" w:rsidRDefault="00737FE6" w:rsidP="004D308D">
      <w:pPr>
        <w:pStyle w:val="Para2"/>
      </w:pPr>
    </w:p>
    <w:p w:rsidR="004D308D" w:rsidRPr="004D308D" w:rsidRDefault="004D308D" w:rsidP="004D308D">
      <w:pPr>
        <w:pStyle w:val="Para2"/>
      </w:pPr>
      <w:r w:rsidRPr="004D308D">
        <w:t xml:space="preserve">For water demands for prisons, prison farms and police stations with prisoner cells, </w:t>
      </w:r>
      <w:r w:rsidRPr="00D90219">
        <w:rPr>
          <w:i/>
        </w:rPr>
        <w:t xml:space="preserve">see </w:t>
      </w:r>
      <w:r w:rsidR="00D90219" w:rsidRPr="00D90219">
        <w:rPr>
          <w:i/>
        </w:rPr>
        <w:br/>
      </w:r>
      <w:r w:rsidRPr="00D90219">
        <w:rPr>
          <w:rFonts w:hint="eastAsia"/>
          <w:i/>
        </w:rPr>
        <w:t>“</w:t>
      </w:r>
      <w:r w:rsidRPr="00D90219">
        <w:rPr>
          <w:i/>
        </w:rPr>
        <w:t>PW342 - Guidelines for the Design of Civil Services for Prisons</w:t>
      </w:r>
      <w:r w:rsidRPr="00D90219">
        <w:rPr>
          <w:rFonts w:hint="eastAsia"/>
          <w:i/>
        </w:rPr>
        <w:t>”</w:t>
      </w:r>
      <w:r w:rsidRPr="004D308D">
        <w:t>.</w:t>
      </w:r>
    </w:p>
    <w:p w:rsidR="004D308D" w:rsidRDefault="004D308D" w:rsidP="00C1787E">
      <w:pPr>
        <w:pStyle w:val="Bullets1-Paragraph"/>
      </w:pPr>
      <w:r>
        <w:t xml:space="preserve">Irrigation </w:t>
      </w:r>
      <w:r>
        <w:rPr>
          <w:rFonts w:hint="eastAsia"/>
        </w:rPr>
        <w:t>–</w:t>
      </w:r>
      <w:r>
        <w:t xml:space="preserve"> 25mm per week unless more detailed information on the particular site is available.  A detailed study will be required where large areas are to be irrigated.</w:t>
      </w:r>
    </w:p>
    <w:p w:rsidR="004D308D" w:rsidRDefault="004D308D" w:rsidP="00C1787E">
      <w:pPr>
        <w:pStyle w:val="Bullets1-Paragraph"/>
      </w:pPr>
      <w:r>
        <w:t>The minimum residual pressure at any domestic fitting should not be less than 100kPa and the maximum static pressure in the network must not exceed 1000kPa.</w:t>
      </w:r>
    </w:p>
    <w:p w:rsidR="004D308D" w:rsidRDefault="004D308D" w:rsidP="00C1787E">
      <w:pPr>
        <w:pStyle w:val="Bullets1-Paragraph"/>
      </w:pPr>
      <w:r>
        <w:t>The network shall be designed for the lowest pressures within this range, considering cost effectiveness.</w:t>
      </w:r>
    </w:p>
    <w:p w:rsidR="004D308D" w:rsidRDefault="004D308D" w:rsidP="00C1787E">
      <w:pPr>
        <w:pStyle w:val="Bullets1-Paragraph"/>
      </w:pPr>
      <w:r>
        <w:t xml:space="preserve">Friction coefficients for PP, PVC, </w:t>
      </w:r>
      <w:proofErr w:type="spellStart"/>
      <w:r>
        <w:t>uPVC</w:t>
      </w:r>
      <w:proofErr w:type="spellEnd"/>
      <w:r>
        <w:t xml:space="preserve">, </w:t>
      </w:r>
      <w:proofErr w:type="spellStart"/>
      <w:r>
        <w:t>mPVC</w:t>
      </w:r>
      <w:proofErr w:type="spellEnd"/>
      <w:r>
        <w:t xml:space="preserve"> and HDPE shall not be less than:</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5"/>
        <w:gridCol w:w="396"/>
        <w:gridCol w:w="2159"/>
        <w:gridCol w:w="5380"/>
      </w:tblGrid>
      <w:tr w:rsidR="004D308D" w:rsidTr="00E1550C">
        <w:tc>
          <w:tcPr>
            <w:tcW w:w="955" w:type="dxa"/>
          </w:tcPr>
          <w:p w:rsidR="004D308D" w:rsidRDefault="004D308D" w:rsidP="00E1550C">
            <w:pPr>
              <w:pStyle w:val="Table-PlainText"/>
            </w:pPr>
            <w:r>
              <w:t>k</w:t>
            </w:r>
          </w:p>
        </w:tc>
        <w:tc>
          <w:tcPr>
            <w:tcW w:w="396" w:type="dxa"/>
          </w:tcPr>
          <w:p w:rsidR="004D308D" w:rsidRDefault="004D308D" w:rsidP="00E1550C">
            <w:pPr>
              <w:pStyle w:val="Table-PlainText"/>
            </w:pPr>
            <w:r>
              <w:t>=</w:t>
            </w:r>
          </w:p>
        </w:tc>
        <w:tc>
          <w:tcPr>
            <w:tcW w:w="2159" w:type="dxa"/>
          </w:tcPr>
          <w:p w:rsidR="004D308D" w:rsidRDefault="004D308D" w:rsidP="00E1550C">
            <w:pPr>
              <w:pStyle w:val="Table-PlainText"/>
            </w:pPr>
            <w:r>
              <w:t>0,1mm</w:t>
            </w:r>
          </w:p>
        </w:tc>
        <w:tc>
          <w:tcPr>
            <w:tcW w:w="5380" w:type="dxa"/>
          </w:tcPr>
          <w:p w:rsidR="004D308D" w:rsidRDefault="004D308D" w:rsidP="00E1550C">
            <w:pPr>
              <w:pStyle w:val="Table-PlainText"/>
            </w:pPr>
            <w:r>
              <w:t>In Colebrook White equation</w:t>
            </w:r>
          </w:p>
        </w:tc>
      </w:tr>
      <w:tr w:rsidR="004D308D" w:rsidTr="00E1550C">
        <w:tc>
          <w:tcPr>
            <w:tcW w:w="955" w:type="dxa"/>
          </w:tcPr>
          <w:p w:rsidR="004D308D" w:rsidRDefault="004D308D" w:rsidP="00E1550C">
            <w:pPr>
              <w:pStyle w:val="Table-PlainText"/>
            </w:pPr>
            <w:r>
              <w:t>or N</w:t>
            </w:r>
          </w:p>
        </w:tc>
        <w:tc>
          <w:tcPr>
            <w:tcW w:w="396" w:type="dxa"/>
          </w:tcPr>
          <w:p w:rsidR="004D308D" w:rsidRDefault="004D308D" w:rsidP="00E1550C">
            <w:pPr>
              <w:pStyle w:val="Table-PlainText"/>
            </w:pPr>
            <w:r>
              <w:t>=</w:t>
            </w:r>
          </w:p>
        </w:tc>
        <w:tc>
          <w:tcPr>
            <w:tcW w:w="2159" w:type="dxa"/>
          </w:tcPr>
          <w:p w:rsidR="004D308D" w:rsidRDefault="004D308D" w:rsidP="00E1550C">
            <w:pPr>
              <w:pStyle w:val="Table-PlainText"/>
            </w:pPr>
            <w:r>
              <w:t>0.01</w:t>
            </w:r>
          </w:p>
        </w:tc>
        <w:tc>
          <w:tcPr>
            <w:tcW w:w="5380" w:type="dxa"/>
          </w:tcPr>
          <w:p w:rsidR="004D308D" w:rsidRDefault="004D308D" w:rsidP="00E1550C">
            <w:pPr>
              <w:pStyle w:val="Table-PlainText"/>
            </w:pPr>
            <w:r>
              <w:t>In Manning equation</w:t>
            </w:r>
          </w:p>
        </w:tc>
      </w:tr>
    </w:tbl>
    <w:p w:rsidR="004D308D" w:rsidRDefault="004D308D" w:rsidP="00C1787E">
      <w:pPr>
        <w:pStyle w:val="Bullets1-Paragraph"/>
      </w:pPr>
      <w:r>
        <w:t>In dolomite areas, special measures shall be taken to prevent and detect leakages of water and damages to the substrata.</w:t>
      </w:r>
    </w:p>
    <w:p w:rsidR="004D308D" w:rsidRDefault="004D308D" w:rsidP="00C1787E">
      <w:pPr>
        <w:pStyle w:val="Bullets1-Paragraph"/>
      </w:pPr>
      <w:r>
        <w:t xml:space="preserve">The Consultant shall apply appropriate peak factors to the average flows which shall not be less than those in the </w:t>
      </w:r>
      <w:r>
        <w:rPr>
          <w:rFonts w:hint="eastAsia"/>
        </w:rPr>
        <w:t>“</w:t>
      </w:r>
      <w:r>
        <w:t>Guidelines for Human Settlement Planning and Design</w:t>
      </w:r>
      <w:r>
        <w:rPr>
          <w:rFonts w:hint="eastAsia"/>
        </w:rPr>
        <w:t>”</w:t>
      </w:r>
      <w:r>
        <w:t xml:space="preserve"> for residential houses, not less than </w:t>
      </w:r>
      <w:r w:rsidR="00C1787E">
        <w:t>twelve (</w:t>
      </w:r>
      <w:r>
        <w:t>12</w:t>
      </w:r>
      <w:r w:rsidR="00C1787E">
        <w:t>)</w:t>
      </w:r>
      <w:r>
        <w:t xml:space="preserve"> for a single building with many water fittings and not less than </w:t>
      </w:r>
      <w:r w:rsidR="00C1787E">
        <w:t>three (</w:t>
      </w:r>
      <w:r>
        <w:t>3</w:t>
      </w:r>
      <w:r w:rsidR="00C1787E">
        <w:t>)</w:t>
      </w:r>
      <w:r>
        <w:t xml:space="preserve"> for the combined flow from a large Departmental establishment.</w:t>
      </w:r>
    </w:p>
    <w:p w:rsidR="00737FE6" w:rsidRDefault="00737FE6" w:rsidP="00C1787E">
      <w:pPr>
        <w:pStyle w:val="Bullets1-Paragraph"/>
        <w:sectPr w:rsidR="00737FE6" w:rsidSect="00DD2A5E">
          <w:pgSz w:w="11906" w:h="16838" w:code="9"/>
          <w:pgMar w:top="1134" w:right="964" w:bottom="964" w:left="1134" w:header="794" w:footer="510" w:gutter="0"/>
          <w:cols w:space="708"/>
          <w:docGrid w:linePitch="360"/>
        </w:sectPr>
      </w:pPr>
    </w:p>
    <w:p w:rsidR="004D308D" w:rsidRDefault="004D308D" w:rsidP="004D308D">
      <w:pPr>
        <w:pStyle w:val="ListNumber2"/>
      </w:pPr>
      <w:r>
        <w:lastRenderedPageBreak/>
        <w:t>Other Practical Considerations</w:t>
      </w:r>
    </w:p>
    <w:p w:rsidR="004D308D" w:rsidRDefault="004D308D" w:rsidP="004D308D">
      <w:pPr>
        <w:pStyle w:val="Para2"/>
      </w:pPr>
      <w:r>
        <w:t>A water audit will be required in all instances</w:t>
      </w:r>
    </w:p>
    <w:p w:rsidR="004D308D" w:rsidRDefault="004D308D" w:rsidP="004D308D">
      <w:pPr>
        <w:pStyle w:val="Para2"/>
      </w:pPr>
      <w:r>
        <w:t>As far as possible, all distribution pipes should be laid to form closed loops and to reduce the likelihood of water standing in a pipeline for more than two days.</w:t>
      </w:r>
    </w:p>
    <w:p w:rsidR="004D308D" w:rsidRDefault="004D308D" w:rsidP="004D308D">
      <w:pPr>
        <w:pStyle w:val="Para2"/>
      </w:pPr>
      <w:r>
        <w:t>Isolating valves shall be placed in the most economical practical positions possible and in such a manner as to isolate portions of the supply with minimal disruption to the rest of the reticulation network.</w:t>
      </w:r>
    </w:p>
    <w:p w:rsidR="004D308D" w:rsidRDefault="004D308D" w:rsidP="004D308D">
      <w:pPr>
        <w:pStyle w:val="Para2"/>
      </w:pPr>
      <w:r>
        <w:t>The system available static pipe pressure shall determine the class of pipes to be specified.  Even if pressure relief valves are specified, the pipe class shall be specified.  The pipe class will be specified to be not less than 90m water pressure, even in the case where pressure relief valves are specified.</w:t>
      </w:r>
    </w:p>
    <w:p w:rsidR="004D308D" w:rsidRDefault="004D308D" w:rsidP="004D308D">
      <w:pPr>
        <w:pStyle w:val="Para2"/>
      </w:pPr>
      <w:r>
        <w:t>Air and scour valves shall be suitably placed in order so as to ensure the proper working and maintenance of the reticulation network.</w:t>
      </w:r>
    </w:p>
    <w:p w:rsidR="004D308D" w:rsidRDefault="004D308D" w:rsidP="004D308D">
      <w:pPr>
        <w:pStyle w:val="Para2"/>
      </w:pPr>
      <w:r>
        <w:t xml:space="preserve">As specified in </w:t>
      </w:r>
      <w:hyperlink r:id="rId22" w:anchor="SectionF4_9_5_ServiceMarkers" w:history="1">
        <w:r w:rsidRPr="00075AC7">
          <w:rPr>
            <w:rStyle w:val="Hyperlink"/>
          </w:rPr>
          <w:t>paragraph 4.9.5</w:t>
        </w:r>
      </w:hyperlink>
      <w:r>
        <w:t>, pipeline markers, must be incorporated into the design.</w:t>
      </w:r>
    </w:p>
    <w:p w:rsidR="004D308D" w:rsidRDefault="004D308D" w:rsidP="004D308D">
      <w:pPr>
        <w:pStyle w:val="Para2"/>
      </w:pPr>
      <w:r>
        <w:t>At large prisons, water meters shall be installed at functional facilities such as the cellblock, kitchen, laundry, etc.</w:t>
      </w:r>
    </w:p>
    <w:p w:rsidR="004D308D" w:rsidRDefault="004D308D" w:rsidP="004D308D">
      <w:pPr>
        <w:pStyle w:val="Para2"/>
      </w:pPr>
      <w:r>
        <w:t>Additional water meters will be required in dolomite areas for water loss monitoring purposes.</w:t>
      </w:r>
    </w:p>
    <w:p w:rsidR="004D308D" w:rsidRDefault="004D308D" w:rsidP="004D308D">
      <w:pPr>
        <w:pStyle w:val="Para2"/>
      </w:pPr>
      <w:r>
        <w:t xml:space="preserve">All sites shall be equipped with a quality glycerine filled pressure meter just downstream of the site bulk water meter.  The pressure meter shall be the largest available size not to read more than 150% of the maximum incoming supply pressure.  Graduations shall be in </w:t>
      </w:r>
      <w:proofErr w:type="spellStart"/>
      <w:r>
        <w:t>kPa</w:t>
      </w:r>
      <w:proofErr w:type="spellEnd"/>
      <w:r>
        <w:t xml:space="preserve"> and be readable to an accuracy of at least 50kPa.</w:t>
      </w:r>
    </w:p>
    <w:p w:rsidR="004D308D" w:rsidRDefault="004D308D" w:rsidP="004D308D">
      <w:pPr>
        <w:pStyle w:val="Para2"/>
      </w:pPr>
      <w:r>
        <w:t>Adjustable pressure reducing equipment will be installed in the supply lines feeding the buildings, just inside the buildings, where the maximum incoming pressure exceeds 300kPa.  The pressure reducing valve shall be capable of reducing pressures from 150% of maximum incoming supply pressure down to 160kPa minimum.</w:t>
      </w:r>
    </w:p>
    <w:p w:rsidR="004D308D" w:rsidRDefault="004D308D" w:rsidP="004D308D">
      <w:pPr>
        <w:pStyle w:val="ListNumber"/>
      </w:pPr>
      <w:bookmarkStart w:id="11" w:name="_Toc298140515"/>
      <w:r>
        <w:t>SANITATION</w:t>
      </w:r>
      <w:bookmarkEnd w:id="11"/>
    </w:p>
    <w:p w:rsidR="004D308D" w:rsidRDefault="004D308D" w:rsidP="004D308D">
      <w:pPr>
        <w:pStyle w:val="ListNumber2"/>
      </w:pPr>
      <w:r>
        <w:t xml:space="preserve">In the choice and design of a specific sanitation system, cognizance should be taken of the most recent issues of SANS 10252-2 </w:t>
      </w:r>
      <w:r>
        <w:rPr>
          <w:rFonts w:hint="eastAsia"/>
        </w:rPr>
        <w:t>“</w:t>
      </w:r>
      <w:r>
        <w:t>Part2:  Drainage Installations for Buildings</w:t>
      </w:r>
      <w:r>
        <w:rPr>
          <w:rFonts w:hint="eastAsia"/>
        </w:rPr>
        <w:t>”</w:t>
      </w:r>
      <w:r>
        <w:t xml:space="preserve"> and Chapter 10 of </w:t>
      </w:r>
      <w:r>
        <w:rPr>
          <w:rFonts w:hint="eastAsia"/>
        </w:rPr>
        <w:t>“</w:t>
      </w:r>
      <w:r>
        <w:t>Guidelines for Human Settlement Planning and Design</w:t>
      </w:r>
      <w:r>
        <w:rPr>
          <w:rFonts w:hint="eastAsia"/>
        </w:rPr>
        <w:t>”</w:t>
      </w:r>
      <w:r>
        <w:t>.</w:t>
      </w:r>
    </w:p>
    <w:p w:rsidR="004D308D" w:rsidRDefault="004D308D" w:rsidP="004D308D">
      <w:pPr>
        <w:pStyle w:val="Para2"/>
      </w:pPr>
      <w:r>
        <w:t>The consulting engineer should examine the available options and select the most appropriate solution for the project before a sanitation system can be designed.  Human waste can either be treated on site before disposal, or removed from the site and treated elsewhere.  This is dependent on the requirements of the Environmental Impact Assessment.</w:t>
      </w:r>
    </w:p>
    <w:p w:rsidR="004D308D" w:rsidRDefault="004D308D" w:rsidP="004D308D">
      <w:pPr>
        <w:pStyle w:val="Para2"/>
      </w:pPr>
      <w:r>
        <w:t xml:space="preserve">The selected method will be thoroughly investigated and the total financial feasibility thereof motivated at the report stage.  The net present value over a period of </w:t>
      </w:r>
      <w:r w:rsidR="006C33E6">
        <w:t>twenty (</w:t>
      </w:r>
      <w:r>
        <w:t>20</w:t>
      </w:r>
      <w:r w:rsidR="006C33E6">
        <w:t>)</w:t>
      </w:r>
      <w:r>
        <w:t xml:space="preserve"> years, using the following formula, must be calculated for each scheme investigated.</w:t>
      </w:r>
    </w:p>
    <w:p w:rsidR="004D308D" w:rsidRDefault="004D308D" w:rsidP="004D308D">
      <w:pPr>
        <w:pStyle w:val="Bullets1-Paragraph"/>
      </w:pPr>
      <w:r>
        <w:t>Description of the analysis carried out and the results thereof taking due account of corrections, escalation and time offered for completion of the work must be given</w:t>
      </w:r>
      <w:r w:rsidR="00C2260C">
        <w:t>.</w:t>
      </w:r>
    </w:p>
    <w:p w:rsidR="004D308D" w:rsidRDefault="004D308D" w:rsidP="004D308D">
      <w:pPr>
        <w:pStyle w:val="Bullets1-Paragraph"/>
      </w:pPr>
      <w:r>
        <w:t>The analysis shall include an economic evaluation to determine:</w:t>
      </w:r>
    </w:p>
    <w:p w:rsidR="00737FE6" w:rsidRDefault="00737FE6" w:rsidP="004D308D">
      <w:pPr>
        <w:pStyle w:val="Para4"/>
        <w:sectPr w:rsidR="00737FE6" w:rsidSect="00DD2A5E">
          <w:pgSz w:w="11906" w:h="16838" w:code="9"/>
          <w:pgMar w:top="1134" w:right="964" w:bottom="964" w:left="1134" w:header="794" w:footer="510" w:gutter="0"/>
          <w:cols w:space="708"/>
          <w:docGrid w:linePitch="360"/>
        </w:sectPr>
      </w:pPr>
    </w:p>
    <w:p w:rsidR="004D308D" w:rsidRDefault="004D308D" w:rsidP="004D308D">
      <w:pPr>
        <w:pStyle w:val="Para4"/>
      </w:pPr>
      <w:r>
        <w:lastRenderedPageBreak/>
        <w:t>A net present value (NPV) based on the following formula using discount rates of</w:t>
      </w:r>
      <w:r w:rsidR="00937F84">
        <w:br/>
      </w:r>
      <w:r>
        <w:t>(i  - 2)%, i % and (i  + 2)% respectively.</w:t>
      </w: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0"/>
        <w:gridCol w:w="426"/>
        <w:gridCol w:w="7777"/>
      </w:tblGrid>
      <w:tr w:rsidR="004D308D" w:rsidTr="0043212F">
        <w:tc>
          <w:tcPr>
            <w:tcW w:w="8923" w:type="dxa"/>
            <w:gridSpan w:val="3"/>
          </w:tcPr>
          <w:p w:rsidR="004D308D" w:rsidRDefault="004D308D" w:rsidP="0043212F">
            <w:pPr>
              <w:pStyle w:val="Table-Singlerowsentries"/>
            </w:pPr>
            <w:r w:rsidRPr="00DC3E2D">
              <w:rPr>
                <w:rFonts w:cs="Arial"/>
                <w:color w:val="000000"/>
                <w:position w:val="-28"/>
              </w:rPr>
              <w:object w:dxaOrig="31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9pt;height:37.9pt" o:ole="" fillcolor="window">
                  <v:imagedata r:id="rId23" o:title=""/>
                </v:shape>
                <o:OLEObject Type="Embed" ProgID="Equation.3" ShapeID="_x0000_i1027" DrawAspect="Content" ObjectID="_1398595266" r:id="rId24"/>
              </w:object>
            </w:r>
          </w:p>
        </w:tc>
      </w:tr>
      <w:tr w:rsidR="0043212F" w:rsidRPr="00703261" w:rsidTr="0043212F">
        <w:tc>
          <w:tcPr>
            <w:tcW w:w="8923" w:type="dxa"/>
            <w:gridSpan w:val="3"/>
          </w:tcPr>
          <w:p w:rsidR="0043212F" w:rsidRPr="00703261" w:rsidRDefault="0043212F" w:rsidP="00703261">
            <w:pPr>
              <w:pStyle w:val="Table-11ptparatext"/>
            </w:pPr>
            <w:r w:rsidRPr="00703261">
              <w:t>Where:</w:t>
            </w:r>
          </w:p>
        </w:tc>
      </w:tr>
      <w:tr w:rsidR="004D308D" w:rsidRPr="00703261" w:rsidTr="0043212F">
        <w:tc>
          <w:tcPr>
            <w:tcW w:w="708" w:type="dxa"/>
          </w:tcPr>
          <w:p w:rsidR="004D308D" w:rsidRPr="00703261" w:rsidRDefault="0043212F" w:rsidP="00703261">
            <w:pPr>
              <w:pStyle w:val="Table-11ptparatext"/>
            </w:pPr>
            <w:r w:rsidRPr="00703261">
              <w:t>NPV</w:t>
            </w:r>
          </w:p>
        </w:tc>
        <w:tc>
          <w:tcPr>
            <w:tcW w:w="426" w:type="dxa"/>
          </w:tcPr>
          <w:p w:rsidR="004D308D" w:rsidRPr="00703261" w:rsidRDefault="0043212F" w:rsidP="00703261">
            <w:pPr>
              <w:pStyle w:val="Table-11ptparatext"/>
            </w:pPr>
            <w:r w:rsidRPr="00703261">
              <w:t>=</w:t>
            </w:r>
          </w:p>
        </w:tc>
        <w:tc>
          <w:tcPr>
            <w:tcW w:w="7789" w:type="dxa"/>
          </w:tcPr>
          <w:p w:rsidR="004D308D" w:rsidRPr="00703261" w:rsidRDefault="0043212F" w:rsidP="00703261">
            <w:pPr>
              <w:pStyle w:val="Table-11ptparatext"/>
            </w:pPr>
            <w:r w:rsidRPr="00703261">
              <w:t>net present value</w:t>
            </w:r>
          </w:p>
        </w:tc>
      </w:tr>
      <w:tr w:rsidR="004D308D" w:rsidRPr="00703261" w:rsidTr="0043212F">
        <w:tc>
          <w:tcPr>
            <w:tcW w:w="708" w:type="dxa"/>
          </w:tcPr>
          <w:p w:rsidR="004D308D" w:rsidRPr="00703261" w:rsidRDefault="0043212F" w:rsidP="00703261">
            <w:pPr>
              <w:pStyle w:val="Table-11ptparatext"/>
            </w:pPr>
            <w:r w:rsidRPr="00703261">
              <w:t>A</w:t>
            </w:r>
            <w:r w:rsidRPr="00703261">
              <w:rPr>
                <w:vertAlign w:val="subscript"/>
              </w:rPr>
              <w:t>n</w:t>
            </w:r>
          </w:p>
        </w:tc>
        <w:tc>
          <w:tcPr>
            <w:tcW w:w="426" w:type="dxa"/>
          </w:tcPr>
          <w:p w:rsidR="004D308D" w:rsidRPr="00703261" w:rsidRDefault="0043212F" w:rsidP="00703261">
            <w:pPr>
              <w:pStyle w:val="Table-11ptparatext"/>
            </w:pPr>
            <w:r w:rsidRPr="00703261">
              <w:t>=</w:t>
            </w:r>
          </w:p>
        </w:tc>
        <w:tc>
          <w:tcPr>
            <w:tcW w:w="7789" w:type="dxa"/>
          </w:tcPr>
          <w:p w:rsidR="004D308D" w:rsidRPr="00703261" w:rsidRDefault="0043212F" w:rsidP="00703261">
            <w:pPr>
              <w:pStyle w:val="Table-11ptparatext"/>
            </w:pPr>
            <w:r w:rsidRPr="00703261">
              <w:t>estimated cash flow for month n</w:t>
            </w:r>
          </w:p>
        </w:tc>
      </w:tr>
      <w:tr w:rsidR="004D308D" w:rsidRPr="00703261" w:rsidTr="0043212F">
        <w:tc>
          <w:tcPr>
            <w:tcW w:w="708" w:type="dxa"/>
          </w:tcPr>
          <w:p w:rsidR="004D308D" w:rsidRPr="00703261" w:rsidRDefault="0043212F" w:rsidP="00703261">
            <w:pPr>
              <w:pStyle w:val="Table-11ptparatext"/>
            </w:pPr>
            <w:r w:rsidRPr="00703261">
              <w:t>n</w:t>
            </w:r>
          </w:p>
        </w:tc>
        <w:tc>
          <w:tcPr>
            <w:tcW w:w="426" w:type="dxa"/>
          </w:tcPr>
          <w:p w:rsidR="004D308D" w:rsidRPr="00703261" w:rsidRDefault="0043212F" w:rsidP="00703261">
            <w:pPr>
              <w:pStyle w:val="Table-11ptparatext"/>
            </w:pPr>
            <w:r w:rsidRPr="00703261">
              <w:t>=</w:t>
            </w:r>
          </w:p>
        </w:tc>
        <w:tc>
          <w:tcPr>
            <w:tcW w:w="7789" w:type="dxa"/>
          </w:tcPr>
          <w:p w:rsidR="004D308D" w:rsidRPr="00703261" w:rsidRDefault="0043212F" w:rsidP="00703261">
            <w:pPr>
              <w:pStyle w:val="Table-11ptparatext"/>
            </w:pPr>
            <w:r w:rsidRPr="00703261">
              <w:t>month 1, month 2, etc.</w:t>
            </w:r>
          </w:p>
        </w:tc>
      </w:tr>
      <w:tr w:rsidR="004D308D" w:rsidRPr="00703261" w:rsidTr="0043212F">
        <w:tc>
          <w:tcPr>
            <w:tcW w:w="708" w:type="dxa"/>
          </w:tcPr>
          <w:p w:rsidR="004D308D" w:rsidRPr="00703261" w:rsidRDefault="0043212F" w:rsidP="00703261">
            <w:pPr>
              <w:pStyle w:val="Table-11ptparatext"/>
            </w:pPr>
            <w:r w:rsidRPr="00703261">
              <w:t>N</w:t>
            </w:r>
          </w:p>
        </w:tc>
        <w:tc>
          <w:tcPr>
            <w:tcW w:w="426" w:type="dxa"/>
          </w:tcPr>
          <w:p w:rsidR="004D308D" w:rsidRPr="00703261" w:rsidRDefault="0043212F" w:rsidP="00703261">
            <w:pPr>
              <w:pStyle w:val="Table-11ptparatext"/>
            </w:pPr>
            <w:r w:rsidRPr="00703261">
              <w:t>=</w:t>
            </w:r>
          </w:p>
        </w:tc>
        <w:tc>
          <w:tcPr>
            <w:tcW w:w="7789" w:type="dxa"/>
          </w:tcPr>
          <w:p w:rsidR="004D308D" w:rsidRPr="00703261" w:rsidRDefault="0043212F" w:rsidP="00703261">
            <w:pPr>
              <w:pStyle w:val="Table-11ptparatext"/>
            </w:pPr>
            <w:r w:rsidRPr="00703261">
              <w:t>contract period in months</w:t>
            </w:r>
          </w:p>
        </w:tc>
      </w:tr>
      <w:tr w:rsidR="004D308D" w:rsidRPr="00703261" w:rsidTr="0043212F">
        <w:tc>
          <w:tcPr>
            <w:tcW w:w="708" w:type="dxa"/>
          </w:tcPr>
          <w:p w:rsidR="004D308D" w:rsidRPr="00703261" w:rsidRDefault="0043212F" w:rsidP="00703261">
            <w:pPr>
              <w:pStyle w:val="Table-11ptparatext"/>
            </w:pPr>
            <w:r w:rsidRPr="00703261">
              <w:t>i</w:t>
            </w:r>
          </w:p>
        </w:tc>
        <w:tc>
          <w:tcPr>
            <w:tcW w:w="426" w:type="dxa"/>
          </w:tcPr>
          <w:p w:rsidR="004D308D" w:rsidRPr="00703261" w:rsidRDefault="0043212F" w:rsidP="00703261">
            <w:pPr>
              <w:pStyle w:val="Table-11ptparatext"/>
            </w:pPr>
            <w:r w:rsidRPr="00703261">
              <w:t>=</w:t>
            </w:r>
          </w:p>
        </w:tc>
        <w:tc>
          <w:tcPr>
            <w:tcW w:w="7789" w:type="dxa"/>
          </w:tcPr>
          <w:p w:rsidR="004D308D" w:rsidRPr="00703261" w:rsidRDefault="0043212F" w:rsidP="00703261">
            <w:pPr>
              <w:pStyle w:val="Table-11ptparatext"/>
            </w:pPr>
            <w:r w:rsidRPr="00703261">
              <w:t>discount rate per annum in % [current capital lending rate (i.e. minus) current escalation rate]</w:t>
            </w:r>
          </w:p>
        </w:tc>
      </w:tr>
    </w:tbl>
    <w:p w:rsidR="00C1787E" w:rsidRDefault="00C1787E" w:rsidP="00C1787E">
      <w:pPr>
        <w:pStyle w:val="Bullets1-Paragraph"/>
        <w:numPr>
          <w:ilvl w:val="0"/>
          <w:numId w:val="0"/>
        </w:numPr>
        <w:ind w:left="1134"/>
      </w:pPr>
    </w:p>
    <w:p w:rsidR="004D308D" w:rsidRDefault="004D308D" w:rsidP="0043212F">
      <w:pPr>
        <w:pStyle w:val="Bullets1-Paragraph"/>
      </w:pPr>
      <w:r>
        <w:t>Above only to be done if cash flows are provided</w:t>
      </w:r>
      <w:r w:rsidR="00C2260C">
        <w:t>.</w:t>
      </w:r>
    </w:p>
    <w:p w:rsidR="004D308D" w:rsidRDefault="004D308D" w:rsidP="0043212F">
      <w:pPr>
        <w:pStyle w:val="Bullets1-Paragraph"/>
      </w:pPr>
      <w:r>
        <w:t>A sensitivity analysis for possible scenarios, focusing on the major items of work that are most likely to vary.</w:t>
      </w:r>
    </w:p>
    <w:p w:rsidR="004D308D" w:rsidRDefault="004D308D" w:rsidP="00F91A9C">
      <w:pPr>
        <w:pStyle w:val="Para2"/>
      </w:pPr>
      <w:r>
        <w:t>An interest rate equal to the current capital lending rate minus the current escalation rate shall be used in the calculation.</w:t>
      </w:r>
    </w:p>
    <w:p w:rsidR="004D308D" w:rsidRDefault="004D308D" w:rsidP="0043212F">
      <w:pPr>
        <w:pStyle w:val="ListNumber2"/>
      </w:pPr>
      <w:r>
        <w:t>On-site Sewage Disposal</w:t>
      </w:r>
    </w:p>
    <w:p w:rsidR="004D308D" w:rsidRPr="0043212F" w:rsidRDefault="004D308D" w:rsidP="0043212F">
      <w:pPr>
        <w:pStyle w:val="Para2"/>
      </w:pPr>
      <w:r w:rsidRPr="0043212F">
        <w:t>Two basic categories of on-site disposal sanitation systems exist viz.:</w:t>
      </w:r>
    </w:p>
    <w:p w:rsidR="004D308D" w:rsidRDefault="004D308D" w:rsidP="0043212F">
      <w:pPr>
        <w:pStyle w:val="Bullets1-Paragraph"/>
      </w:pPr>
      <w:r>
        <w:t xml:space="preserve">Water added </w:t>
      </w:r>
      <w:r>
        <w:rPr>
          <w:rFonts w:hint="eastAsia"/>
        </w:rPr>
        <w:t>–</w:t>
      </w:r>
      <w:r>
        <w:t xml:space="preserve"> no conveyance required, such as:</w:t>
      </w:r>
    </w:p>
    <w:p w:rsidR="004D308D" w:rsidRDefault="004D308D" w:rsidP="0043212F">
      <w:pPr>
        <w:pStyle w:val="Para4"/>
      </w:pPr>
      <w:r>
        <w:t>Flushing toilets towards septic tank, various low-flow on-site sanitation systems, etc.</w:t>
      </w:r>
    </w:p>
    <w:p w:rsidR="004D308D" w:rsidRDefault="004D308D" w:rsidP="0043212F">
      <w:pPr>
        <w:pStyle w:val="Bullets1-Paragraph"/>
      </w:pPr>
      <w:r>
        <w:t xml:space="preserve">No water added </w:t>
      </w:r>
      <w:r>
        <w:rPr>
          <w:rFonts w:hint="eastAsia"/>
        </w:rPr>
        <w:t>–</w:t>
      </w:r>
      <w:r>
        <w:t xml:space="preserve"> no conveyance required, such as:</w:t>
      </w:r>
    </w:p>
    <w:p w:rsidR="004D308D" w:rsidRDefault="004D308D" w:rsidP="0043212F">
      <w:pPr>
        <w:pStyle w:val="Para4"/>
      </w:pPr>
      <w:r>
        <w:t>Ventilated pit toilets, ventilated vault toilets, continuous composting toilets, etc.</w:t>
      </w:r>
    </w:p>
    <w:p w:rsidR="004D308D" w:rsidRDefault="004D308D" w:rsidP="004D308D">
      <w:pPr>
        <w:pStyle w:val="Para2"/>
      </w:pPr>
      <w:r>
        <w:t>Many commercial manufacturers provide on-site disposal systems that may be a variant of the above.  When the Consulting Engineer decides to opt for an on-site sewage disposal system, the selection of the most appropriate solution will depend on its particular application.  If applicable, end-user/community inputs are essential in the system selection.</w:t>
      </w:r>
    </w:p>
    <w:p w:rsidR="004D308D" w:rsidRDefault="004D308D" w:rsidP="00660836">
      <w:pPr>
        <w:pStyle w:val="ListNumber2"/>
      </w:pPr>
      <w:r>
        <w:t>On-site Sewage Treatment Works</w:t>
      </w:r>
    </w:p>
    <w:p w:rsidR="004D308D" w:rsidRPr="00660836" w:rsidRDefault="004D308D" w:rsidP="00660836">
      <w:pPr>
        <w:pStyle w:val="Para2"/>
      </w:pPr>
      <w:r w:rsidRPr="00660836">
        <w:t>The consulting civil engineer will base the design of the on-site water treatment works on the Department</w:t>
      </w:r>
      <w:r w:rsidRPr="00660836">
        <w:rPr>
          <w:rFonts w:hint="eastAsia"/>
        </w:rPr>
        <w:t>’</w:t>
      </w:r>
      <w:r w:rsidRPr="00660836">
        <w:t>s manual for small water treatment works where applicable.</w:t>
      </w:r>
    </w:p>
    <w:p w:rsidR="004D308D" w:rsidRPr="00660836" w:rsidRDefault="004D308D" w:rsidP="00660836">
      <w:pPr>
        <w:pStyle w:val="Para2"/>
      </w:pPr>
      <w:r w:rsidRPr="00660836">
        <w:t>The onus is on the consulting civil engineer to ensure that:</w:t>
      </w:r>
    </w:p>
    <w:p w:rsidR="004D308D" w:rsidRDefault="004D308D" w:rsidP="00D05C12">
      <w:pPr>
        <w:pStyle w:val="Bullets1-Paragraph"/>
      </w:pPr>
      <w:r>
        <w:t xml:space="preserve">The process he chooses for the design of the works is capable of treating the raw sewage entering the works and complies with the required standards for the </w:t>
      </w:r>
      <w:r w:rsidR="00703261">
        <w:t>catchment's</w:t>
      </w:r>
      <w:r>
        <w:t xml:space="preserve"> area in which the works are sited;</w:t>
      </w:r>
    </w:p>
    <w:p w:rsidR="004D308D" w:rsidRDefault="004D308D" w:rsidP="00D05C12">
      <w:pPr>
        <w:pStyle w:val="Bullets1-Paragraph"/>
      </w:pPr>
      <w:r>
        <w:t>The treatment plant is capable of handling the range of flows to which it will be subjected;</w:t>
      </w:r>
    </w:p>
    <w:p w:rsidR="004D308D" w:rsidRDefault="00D05C12" w:rsidP="00D05C12">
      <w:pPr>
        <w:pStyle w:val="Bullets1-Paragraph"/>
      </w:pPr>
      <w:r>
        <w:t>T</w:t>
      </w:r>
      <w:r w:rsidR="004D308D">
        <w:t>he most economical process is followed for the treatment of the raw effluent;</w:t>
      </w:r>
    </w:p>
    <w:p w:rsidR="004D308D" w:rsidRDefault="004D308D" w:rsidP="00D05C12">
      <w:pPr>
        <w:pStyle w:val="Bullets1-Paragraph"/>
      </w:pPr>
      <w:r>
        <w:t>The gravity flow of the effluent through the works should be used wherever possible - not only to eliminate the cost of pumping but also to enable some treatment of the effluent to take place in the case of an interruption in the power supply.  This should be done to ensure no leaking out of raw sewage from the works;</w:t>
      </w:r>
    </w:p>
    <w:p w:rsidR="004D308D" w:rsidRDefault="004D308D" w:rsidP="00D05C12">
      <w:pPr>
        <w:pStyle w:val="Bullets1-Paragraph"/>
      </w:pPr>
      <w:r>
        <w:lastRenderedPageBreak/>
        <w:t>An elementary process is followed in the day to day operation of the plant in order that it is manageable by operators with a low skill level;</w:t>
      </w:r>
    </w:p>
    <w:p w:rsidR="004D308D" w:rsidRDefault="004D308D" w:rsidP="00D05C12">
      <w:pPr>
        <w:pStyle w:val="Bullets1-Paragraph"/>
      </w:pPr>
      <w:r>
        <w:t>The location of the works and the individual units within the works must ensure the most economical operation of the plant.</w:t>
      </w:r>
    </w:p>
    <w:p w:rsidR="004D308D" w:rsidRDefault="004D308D" w:rsidP="00D05C12">
      <w:pPr>
        <w:pStyle w:val="ListNumber2"/>
      </w:pPr>
      <w:r>
        <w:t>Sewage Treatment at Central Municipal Works, i.e. Municipal Connection (Memorandum of Understanding).</w:t>
      </w:r>
    </w:p>
    <w:p w:rsidR="004D308D" w:rsidRPr="00F91A9C" w:rsidRDefault="004D308D" w:rsidP="004D308D">
      <w:pPr>
        <w:pStyle w:val="Para2"/>
        <w:rPr>
          <w:i/>
        </w:rPr>
      </w:pPr>
      <w:r w:rsidRPr="00F91A9C">
        <w:rPr>
          <w:i/>
        </w:rPr>
        <w:t>The design of a sewer system must be in accordance with the relevant sections of the most recent issues of SANS 1200 and SANS 10252-2.</w:t>
      </w:r>
    </w:p>
    <w:p w:rsidR="00937F84" w:rsidRDefault="004D308D" w:rsidP="004D308D">
      <w:pPr>
        <w:pStyle w:val="Para2"/>
      </w:pPr>
      <w:r>
        <w:t>The proposed sewer system shall be capable of conveying the proposed flows taking into account the average daily flows and peak flows that may occur.  The existing system shall be checked for capability of maintaining the proposed additional flows added to it.  The consulting civil engineer will base the design of the on-site water treatment works on the Department</w:t>
      </w:r>
      <w:r>
        <w:rPr>
          <w:rFonts w:hint="eastAsia"/>
        </w:rPr>
        <w:t>’</w:t>
      </w:r>
      <w:r>
        <w:t>s manual for small water treatment works where applicable.</w:t>
      </w:r>
    </w:p>
    <w:p w:rsidR="004D308D" w:rsidRDefault="004D308D" w:rsidP="004D308D">
      <w:pPr>
        <w:pStyle w:val="Para2"/>
      </w:pPr>
      <w:r>
        <w:t>The onus is on the consulting civil engineer to ensure that:</w:t>
      </w:r>
    </w:p>
    <w:p w:rsidR="004D308D" w:rsidRDefault="004D308D" w:rsidP="00D05C12">
      <w:pPr>
        <w:pStyle w:val="Bullets1-Paragraph"/>
      </w:pPr>
      <w:r>
        <w:t xml:space="preserve">The process he chooses for the design of the works is capable of treating the raw sewage entering the works and complies with the required standards for the </w:t>
      </w:r>
      <w:r w:rsidR="00703261">
        <w:t>catchment's</w:t>
      </w:r>
      <w:r>
        <w:t xml:space="preserve"> area in which the works are sited;</w:t>
      </w:r>
    </w:p>
    <w:p w:rsidR="004D308D" w:rsidRDefault="004D308D" w:rsidP="00D05C12">
      <w:pPr>
        <w:pStyle w:val="Bullets1-Paragraph"/>
      </w:pPr>
      <w:r>
        <w:t>The treatment plant is capable of handling the range of flows to which it will be subjected;</w:t>
      </w:r>
    </w:p>
    <w:p w:rsidR="004D308D" w:rsidRDefault="004D308D" w:rsidP="00D05C12">
      <w:pPr>
        <w:pStyle w:val="Bullets1-Paragraph"/>
      </w:pPr>
      <w:r>
        <w:t>The most economical process is followed for the treatment of the raw effluent;</w:t>
      </w:r>
    </w:p>
    <w:p w:rsidR="004D308D" w:rsidRDefault="004D308D" w:rsidP="00D05C12">
      <w:pPr>
        <w:pStyle w:val="Bullets1-Paragraph"/>
      </w:pPr>
      <w:r>
        <w:t>The gravity flow of the effluent through the works should be used wherever possible - not only to eliminate the cost of pumping but also to enable some treatment of the effluent to take place in the case of an interruption in the power supply. This should be done to ensure no leaking out of raw sewage from the works;</w:t>
      </w:r>
    </w:p>
    <w:p w:rsidR="004D308D" w:rsidRDefault="004D308D" w:rsidP="00D05C12">
      <w:pPr>
        <w:pStyle w:val="Bullets1-Paragraph"/>
      </w:pPr>
      <w:r>
        <w:t>An elementary process is followed in the day to day operation of the plant in order that it is manageable by operators with a low skill level.</w:t>
      </w:r>
    </w:p>
    <w:p w:rsidR="004D308D" w:rsidRDefault="004D308D" w:rsidP="00D05C12">
      <w:pPr>
        <w:pStyle w:val="Bullets1-Paragraph"/>
      </w:pPr>
      <w:r>
        <w:t>The location of the works and the individual units within the works must ensure the most economical operation of the plant.</w:t>
      </w:r>
    </w:p>
    <w:p w:rsidR="004D308D" w:rsidRDefault="004D308D" w:rsidP="004D308D">
      <w:pPr>
        <w:pStyle w:val="Para2"/>
      </w:pPr>
      <w:r>
        <w:t xml:space="preserve">The recommended minimum flow velocity is 0.7m/s, and the recommended flow depth at peak flows is </w:t>
      </w:r>
      <w:r w:rsidR="00C93959">
        <w:t>sixty seven percent (</w:t>
      </w:r>
      <w:r>
        <w:t>67%</w:t>
      </w:r>
      <w:r w:rsidR="00C93959">
        <w:t>)</w:t>
      </w:r>
      <w:r>
        <w:t>.</w:t>
      </w:r>
    </w:p>
    <w:p w:rsidR="004D308D" w:rsidRDefault="004D308D" w:rsidP="004D308D">
      <w:pPr>
        <w:pStyle w:val="Para2"/>
      </w:pPr>
      <w:r>
        <w:t xml:space="preserve">The flows should be designed for a seepage factor of </w:t>
      </w:r>
      <w:r w:rsidR="00C93959">
        <w:t>fifteen percent (</w:t>
      </w:r>
      <w:r>
        <w:t>15%</w:t>
      </w:r>
      <w:r w:rsidR="00C93959">
        <w:t>)</w:t>
      </w:r>
      <w:r>
        <w:t>.</w:t>
      </w:r>
    </w:p>
    <w:p w:rsidR="004D308D" w:rsidRDefault="004D308D" w:rsidP="004D308D">
      <w:pPr>
        <w:pStyle w:val="Para2"/>
      </w:pPr>
      <w:r>
        <w:t>Where gravity flow or pumping of sewage to a central treatment plant is not feasible, on site septic tanks must be considered.  Conservancy tanks with sufficient capacity can be considered as a last resort.  The design of the conservancy tank must be done in consultation with the Local Authority, taking into account their capacity to empty the tanks.</w:t>
      </w:r>
    </w:p>
    <w:p w:rsidR="004D308D" w:rsidRDefault="004D308D" w:rsidP="00D05C12">
      <w:pPr>
        <w:pStyle w:val="ListNumber2"/>
      </w:pPr>
      <w:r>
        <w:t>Manholes</w:t>
      </w:r>
    </w:p>
    <w:p w:rsidR="004D308D" w:rsidRDefault="004D308D" w:rsidP="004D308D">
      <w:pPr>
        <w:pStyle w:val="Para2"/>
      </w:pPr>
      <w:r>
        <w:t>The use of precast concrete manholes is preferred, but in-situ concrete and engineering brick manholes are also acceptable.  A class I mortar must be specified for bricklaying.  Manholes must not be plastered.</w:t>
      </w:r>
    </w:p>
    <w:p w:rsidR="004D308D" w:rsidRDefault="004D308D" w:rsidP="004D308D">
      <w:pPr>
        <w:pStyle w:val="Para2"/>
      </w:pPr>
      <w:r>
        <w:t>For manhole products, dolomite aggregates must be specified for use in concrete.</w:t>
      </w:r>
    </w:p>
    <w:p w:rsidR="004D308D" w:rsidRDefault="004D308D" w:rsidP="004D308D">
      <w:pPr>
        <w:pStyle w:val="Para2"/>
      </w:pPr>
      <w:r>
        <w:t>Waterproofing of joints in precast manholes is mandatory.  Waterproofing tests on manholes must be done after construction.  Special care must be taken to construct the benching of a manhole with smooth transitions and according to specification.</w:t>
      </w:r>
    </w:p>
    <w:p w:rsidR="004D308D" w:rsidRDefault="004D308D" w:rsidP="004D308D">
      <w:pPr>
        <w:pStyle w:val="Para2"/>
      </w:pPr>
      <w:r>
        <w:t>Standards for precast manhole segments are covered in SANS 1294.</w:t>
      </w:r>
    </w:p>
    <w:p w:rsidR="004D308D" w:rsidRDefault="004D308D" w:rsidP="004D308D">
      <w:pPr>
        <w:pStyle w:val="Para2"/>
      </w:pPr>
      <w:r>
        <w:lastRenderedPageBreak/>
        <w:t xml:space="preserve">In dolomite areas, the special measures as specified in the Departmental publication:  PW344, </w:t>
      </w:r>
      <w:r>
        <w:rPr>
          <w:rFonts w:hint="eastAsia"/>
        </w:rPr>
        <w:t>“</w:t>
      </w:r>
      <w:r>
        <w:t>Appropriate Development of Infrastructure on Dolomite:  Guidelines for Consultants</w:t>
      </w:r>
      <w:r>
        <w:rPr>
          <w:rFonts w:hint="eastAsia"/>
        </w:rPr>
        <w:t>”</w:t>
      </w:r>
      <w:r>
        <w:t>, must be strictly adhered to.</w:t>
      </w:r>
    </w:p>
    <w:p w:rsidR="004D308D" w:rsidRDefault="004D308D" w:rsidP="004D308D">
      <w:pPr>
        <w:pStyle w:val="Para2"/>
      </w:pPr>
      <w:r>
        <w:t>All the necessary tools for the opening of manholes shall be supplied with the Contract.  A minimum of two</w:t>
      </w:r>
      <w:r w:rsidR="00C2260C">
        <w:t xml:space="preserve"> (2)</w:t>
      </w:r>
      <w:r>
        <w:t xml:space="preserve"> tools for each type/application is required.</w:t>
      </w:r>
    </w:p>
    <w:p w:rsidR="004D308D" w:rsidRDefault="004D308D" w:rsidP="004D308D">
      <w:pPr>
        <w:pStyle w:val="Para2"/>
      </w:pPr>
      <w:r>
        <w:t>The maximum distance between manholes shall be 80m, and no curves are allowed between manholes.</w:t>
      </w:r>
    </w:p>
    <w:p w:rsidR="004D308D" w:rsidRDefault="004D308D" w:rsidP="00D05C12">
      <w:pPr>
        <w:pStyle w:val="ListNumber2"/>
      </w:pPr>
      <w:r>
        <w:t>Pipe Materials</w:t>
      </w:r>
    </w:p>
    <w:p w:rsidR="004D308D" w:rsidRDefault="004D308D" w:rsidP="004D308D">
      <w:pPr>
        <w:pStyle w:val="Para2"/>
      </w:pPr>
      <w:r>
        <w:t xml:space="preserve">Different types of pipes are used for the construction of sewers such as </w:t>
      </w:r>
      <w:proofErr w:type="spellStart"/>
      <w:r>
        <w:t>uPVC</w:t>
      </w:r>
      <w:proofErr w:type="spellEnd"/>
      <w:r>
        <w:t xml:space="preserve"> (double wall), reinforced concrete (dolomite aggregates) and rigid class 34 </w:t>
      </w:r>
      <w:proofErr w:type="spellStart"/>
      <w:r>
        <w:t>uPVC</w:t>
      </w:r>
      <w:proofErr w:type="spellEnd"/>
      <w:r>
        <w:t xml:space="preserve"> pipes SANS 791:2004 (2009-07 31).  It is the Department</w:t>
      </w:r>
      <w:r>
        <w:rPr>
          <w:rFonts w:hint="eastAsia"/>
        </w:rPr>
        <w:t>’</w:t>
      </w:r>
      <w:r>
        <w:t>s preference to specify PVC pipes in sizes up to 250mm and where applicable, HDPE, reinforced concrete (dolomite aggregates) for larger diameters.  Note:  PVC pipes suffer a lost in strength when exposed to sunlight.</w:t>
      </w:r>
    </w:p>
    <w:p w:rsidR="004D308D" w:rsidRDefault="004D308D" w:rsidP="004D308D">
      <w:pPr>
        <w:pStyle w:val="Para2"/>
      </w:pPr>
      <w:r>
        <w:t>Internal burrs of welded pipes shall be removed on completion of the welding or limited in height where approved by the Department.</w:t>
      </w:r>
    </w:p>
    <w:p w:rsidR="004D308D" w:rsidRDefault="004D308D" w:rsidP="004D308D">
      <w:pPr>
        <w:pStyle w:val="Para2"/>
      </w:pPr>
      <w:r>
        <w:t xml:space="preserve">In dolomite areas, the special measures as specified in the Departmental publication:  PW344 - </w:t>
      </w:r>
      <w:r>
        <w:rPr>
          <w:rFonts w:hint="eastAsia"/>
        </w:rPr>
        <w:t>“</w:t>
      </w:r>
      <w:r>
        <w:t>Appropriate Development of Infrastructure on Dolomite:  Guidelines for Consultants</w:t>
      </w:r>
      <w:r>
        <w:rPr>
          <w:rFonts w:hint="eastAsia"/>
        </w:rPr>
        <w:t>”</w:t>
      </w:r>
      <w:r>
        <w:t>, must be strictly adhered to.</w:t>
      </w:r>
    </w:p>
    <w:p w:rsidR="004D308D" w:rsidRDefault="004D308D" w:rsidP="00D05C12">
      <w:pPr>
        <w:pStyle w:val="ListNumber2"/>
      </w:pPr>
      <w:r>
        <w:t>Pumped Sewage Installations</w:t>
      </w:r>
    </w:p>
    <w:p w:rsidR="004D308D" w:rsidRDefault="004D308D" w:rsidP="00D05C12">
      <w:pPr>
        <w:pStyle w:val="ListNumber3"/>
      </w:pPr>
      <w:r>
        <w:t>General</w:t>
      </w:r>
    </w:p>
    <w:p w:rsidR="004D308D" w:rsidRDefault="004D308D" w:rsidP="00D05C12">
      <w:pPr>
        <w:pStyle w:val="Para3"/>
      </w:pPr>
      <w:r>
        <w:t>Gravity flow is the preferred method of sewage conveyance.  Pumping sewage should only be considered after having investigated all alternatives to the fullest consequence.  Pump stations can only be considered if the alternatives are impossible or not feasible.  The design and planning of a sewage pumping station involves the integration of various disciplines.  The location of a pump station is important and a comprehensive study should be made to ensure that the area to be served can be adequately drained.  Attention should furthermore also be given to the location of the station as it could very well determine the overall development of the area.</w:t>
      </w:r>
    </w:p>
    <w:p w:rsidR="004D308D" w:rsidRDefault="004D308D" w:rsidP="00D05C12">
      <w:pPr>
        <w:pStyle w:val="Para3"/>
      </w:pPr>
      <w:r>
        <w:t xml:space="preserve">The preparation of an Operating and Maintenance Manual is mandatory and must be forwarded to the Department together with the Design Report and Tender Drawings.  This Preliminary Manual shall describe the operation of the pump station and need not include the manuals of equipment suppliers.  The final and complete Operating and Maintenance  </w:t>
      </w:r>
    </w:p>
    <w:p w:rsidR="004D308D" w:rsidRDefault="004D308D" w:rsidP="00D05C12">
      <w:pPr>
        <w:pStyle w:val="Para3"/>
      </w:pPr>
      <w:r>
        <w:t xml:space="preserve">Manual shall be supplied one </w:t>
      </w:r>
      <w:r w:rsidR="005E27A5">
        <w:t xml:space="preserve">(1) </w:t>
      </w:r>
      <w:r>
        <w:t>week after the successful commissioning of the pump station and shall include the manuals of equipment suppliers.</w:t>
      </w:r>
    </w:p>
    <w:p w:rsidR="004D308D" w:rsidRDefault="004D308D" w:rsidP="00D05C12">
      <w:pPr>
        <w:pStyle w:val="Para3"/>
      </w:pPr>
      <w:r>
        <w:t xml:space="preserve">The Departmental </w:t>
      </w:r>
      <w:r>
        <w:rPr>
          <w:rFonts w:hint="eastAsia"/>
        </w:rPr>
        <w:t>“</w:t>
      </w:r>
      <w:r>
        <w:t>Guidelines for Design and Construction of Pump Stations</w:t>
      </w:r>
      <w:r>
        <w:rPr>
          <w:rFonts w:hint="eastAsia"/>
        </w:rPr>
        <w:t>”</w:t>
      </w:r>
      <w:r>
        <w:t xml:space="preserve">, </w:t>
      </w:r>
      <w:r w:rsidR="00075AC7">
        <w:br/>
      </w:r>
      <w:hyperlink r:id="rId25" w:anchor="SectionF8_GuidelinesForDesignConstructio" w:history="1">
        <w:r w:rsidRPr="00075AC7">
          <w:rPr>
            <w:rStyle w:val="Hyperlink"/>
          </w:rPr>
          <w:t>paragraph 8</w:t>
        </w:r>
      </w:hyperlink>
      <w:r>
        <w:t xml:space="preserve"> of this section must be used in the design of sewage pump stations.</w:t>
      </w:r>
    </w:p>
    <w:p w:rsidR="004D308D" w:rsidRPr="00E1550C" w:rsidRDefault="004D308D" w:rsidP="00D05C12">
      <w:pPr>
        <w:pStyle w:val="Para3"/>
        <w:rPr>
          <w:b/>
        </w:rPr>
      </w:pPr>
      <w:r w:rsidRPr="00E1550C">
        <w:rPr>
          <w:b/>
        </w:rPr>
        <w:t xml:space="preserve">It is a minimum requirement that a </w:t>
      </w:r>
      <w:proofErr w:type="spellStart"/>
      <w:r w:rsidRPr="00E1550C">
        <w:rPr>
          <w:b/>
        </w:rPr>
        <w:t>muncher</w:t>
      </w:r>
      <w:proofErr w:type="spellEnd"/>
      <w:r w:rsidRPr="00E1550C">
        <w:rPr>
          <w:b/>
        </w:rPr>
        <w:t xml:space="preserve"> must be installed in front of all pumps</w:t>
      </w:r>
      <w:r w:rsidR="00C1787E">
        <w:rPr>
          <w:b/>
        </w:rPr>
        <w:t>.</w:t>
      </w:r>
    </w:p>
    <w:p w:rsidR="004D308D" w:rsidRDefault="004D308D" w:rsidP="00D05C12">
      <w:pPr>
        <w:pStyle w:val="ListNumber3"/>
      </w:pPr>
      <w:r>
        <w:t>Pump stations</w:t>
      </w:r>
    </w:p>
    <w:p w:rsidR="004D308D" w:rsidRDefault="004D308D" w:rsidP="00D05C12">
      <w:pPr>
        <w:pStyle w:val="Para3"/>
      </w:pPr>
      <w:r>
        <w:t>There is a whole range of different types of pump stations varying from simple sumps to large elaborate complexes.  There are two types, namely the Wet Well Station and the Dry Well Station.  A proper investigation should be carried out to determine the appropriate type of pump station to be provided.</w:t>
      </w:r>
    </w:p>
    <w:p w:rsidR="004D308D" w:rsidRDefault="004D308D" w:rsidP="00D05C12">
      <w:pPr>
        <w:pStyle w:val="Para3"/>
      </w:pPr>
      <w:r>
        <w:t xml:space="preserve">The Wet Well Station normally consists of a sump, which contains both the sewage discharged from the outfall sewer and the submersible pump.  The Department is not in favour of submersible pumps and prefers suction pumps mounted at ground level.  These stations are normally considered for smaller installations where the flow is not excessive.  </w:t>
      </w:r>
      <w:r>
        <w:lastRenderedPageBreak/>
        <w:t>The sumps are not generally accompanied by above ground buildings when submersible pumps are used, with electrical switchgear housed in simple weatherproof kiosks.</w:t>
      </w:r>
    </w:p>
    <w:p w:rsidR="004D308D" w:rsidRDefault="004D308D" w:rsidP="00D05C12">
      <w:pPr>
        <w:pStyle w:val="Para3"/>
      </w:pPr>
      <w:r>
        <w:t>In a Dry Well Station, the pumps are located in the dry well adjacent to the wet well.  Dry Well Stations have generally been used where the volume of sewage to be pumped is large, where the pumping head is large or where the depth of the incoming sewer is substantial.  The arrangement of the dry well to the wet well should preferably allow for the pumps to have a positive suction head at all times, but this is not absolutely necessary.</w:t>
      </w:r>
    </w:p>
    <w:p w:rsidR="004D308D" w:rsidRDefault="004D308D" w:rsidP="00D05C12">
      <w:pPr>
        <w:pStyle w:val="Para3"/>
      </w:pPr>
      <w:r>
        <w:t>The requirements for sewer manholes as given elsewhere in these guidelines also apply to the design of pump station wells.</w:t>
      </w:r>
    </w:p>
    <w:p w:rsidR="004D308D" w:rsidRDefault="004D308D" w:rsidP="00D05C12">
      <w:pPr>
        <w:pStyle w:val="Para3"/>
      </w:pPr>
      <w:r>
        <w:t>All the necessary tools and equipment to operate the pump station shall be supplied with the Contract, except for the tools to carry out repair work.</w:t>
      </w:r>
    </w:p>
    <w:p w:rsidR="004D308D" w:rsidRDefault="004D308D" w:rsidP="00D05C12">
      <w:pPr>
        <w:pStyle w:val="ListNumber3"/>
      </w:pPr>
      <w:r>
        <w:t>Pump selection</w:t>
      </w:r>
    </w:p>
    <w:p w:rsidR="004D308D" w:rsidRDefault="004D308D" w:rsidP="00900568">
      <w:pPr>
        <w:pStyle w:val="Para3"/>
      </w:pPr>
      <w:r>
        <w:t>The choice of the pumps is the most important aspect of the sewage pumping station design.  Design information and product detail are readily available from specialist pump manufacturers.</w:t>
      </w:r>
    </w:p>
    <w:p w:rsidR="004D308D" w:rsidRDefault="004D308D" w:rsidP="00900568">
      <w:pPr>
        <w:pStyle w:val="Para3"/>
      </w:pPr>
      <w:r>
        <w:t>The pumps will be chosen and designed in order to maintain the duty flow and head for any given situation.  The design will make adequate provision for a back-up system in the event of pump maintenance or breakdowns.</w:t>
      </w:r>
    </w:p>
    <w:p w:rsidR="004D308D" w:rsidRDefault="004D308D" w:rsidP="00900568">
      <w:pPr>
        <w:pStyle w:val="Para3"/>
      </w:pPr>
      <w:r>
        <w:t xml:space="preserve">Cognisance must be taken of the safeguards as specified in </w:t>
      </w:r>
      <w:hyperlink r:id="rId26" w:anchor="SectionF8_4_Safeguards" w:history="1">
        <w:r w:rsidRPr="00075AC7">
          <w:rPr>
            <w:rStyle w:val="Hyperlink"/>
          </w:rPr>
          <w:t>paragraph 8.4</w:t>
        </w:r>
      </w:hyperlink>
      <w:r>
        <w:t xml:space="preserve"> of this section.</w:t>
      </w:r>
    </w:p>
    <w:p w:rsidR="004D308D" w:rsidRDefault="004D308D" w:rsidP="00900568">
      <w:pPr>
        <w:pStyle w:val="ListNumber3"/>
      </w:pPr>
      <w:r>
        <w:t>Pipe work</w:t>
      </w:r>
    </w:p>
    <w:p w:rsidR="004D308D" w:rsidRDefault="004D308D" w:rsidP="00900568">
      <w:pPr>
        <w:pStyle w:val="Para3"/>
      </w:pPr>
      <w:r>
        <w:t xml:space="preserve">The pipe work in a sewage pumping station has to be carefully sized and laid out to prevent blockages.  The number of bends should be limited and care must be taken to ensure that deposits that occur during off pumping periods do not prevent the subsequent pump operation.  The preferred pipe material inside a pipe station is cast iron, ductile iron or corrosion protected steel pipes to SANS 32 EN 10240.  Rising main pipes can be </w:t>
      </w:r>
      <w:proofErr w:type="spellStart"/>
      <w:r>
        <w:t>mPVC</w:t>
      </w:r>
      <w:proofErr w:type="spellEnd"/>
      <w:r>
        <w:t xml:space="preserve">, </w:t>
      </w:r>
      <w:proofErr w:type="spellStart"/>
      <w:r>
        <w:t>uPVC</w:t>
      </w:r>
      <w:proofErr w:type="spellEnd"/>
      <w:r>
        <w:t xml:space="preserve"> (double wall), corrosion protected steel pipes or preferably HDPE pipes.</w:t>
      </w:r>
    </w:p>
    <w:p w:rsidR="004D308D" w:rsidRDefault="004D308D" w:rsidP="00900568">
      <w:pPr>
        <w:pStyle w:val="ListNumber3"/>
      </w:pPr>
      <w:r>
        <w:t>Safety and Cleanliness</w:t>
      </w:r>
    </w:p>
    <w:p w:rsidR="004D308D" w:rsidRDefault="004D308D" w:rsidP="00900568">
      <w:pPr>
        <w:pStyle w:val="Para3"/>
      </w:pPr>
      <w:r>
        <w:t xml:space="preserve">Stairways are preferable to ladders or step irons and stainless steel hand railings must be  </w:t>
      </w:r>
    </w:p>
    <w:p w:rsidR="004D308D" w:rsidRDefault="004D308D" w:rsidP="00900568">
      <w:pPr>
        <w:pStyle w:val="Para3"/>
      </w:pPr>
      <w:r>
        <w:t>provided.  Other safety features are non-slip treads and rubber mats in front of switchgear.</w:t>
      </w:r>
    </w:p>
    <w:p w:rsidR="004D308D" w:rsidRDefault="004D308D" w:rsidP="00900568">
      <w:pPr>
        <w:pStyle w:val="Para3"/>
      </w:pPr>
      <w:r>
        <w:t>When step irons are provided, they shall be of the fully plastic encapsulated type.</w:t>
      </w:r>
    </w:p>
    <w:p w:rsidR="004D308D" w:rsidRDefault="004D308D" w:rsidP="00900568">
      <w:pPr>
        <w:pStyle w:val="Para3"/>
      </w:pPr>
      <w:r>
        <w:t>Good pressure water supply for hosing down internal and external floors and walls should be encouraged, adequately dealing with such effluent to drain towards a suitable disposal point.</w:t>
      </w:r>
    </w:p>
    <w:p w:rsidR="004D308D" w:rsidRDefault="004D308D" w:rsidP="00900568">
      <w:pPr>
        <w:pStyle w:val="ListNumber2"/>
      </w:pPr>
      <w:r>
        <w:t>Sewage Flows</w:t>
      </w:r>
    </w:p>
    <w:p w:rsidR="004D308D" w:rsidRDefault="004D308D" w:rsidP="00900568">
      <w:pPr>
        <w:pStyle w:val="Para2"/>
      </w:pPr>
      <w:r>
        <w:t xml:space="preserve">The average daily sewage design values to be utilised for prisons, prisoner holding cells and prison farms are set out in the Departmental PW342, </w:t>
      </w:r>
      <w:r>
        <w:rPr>
          <w:rFonts w:hint="eastAsia"/>
        </w:rPr>
        <w:t>“</w:t>
      </w:r>
      <w:r>
        <w:t>Guidelines for the Design of Civil Services for Prisons</w:t>
      </w:r>
      <w:r>
        <w:rPr>
          <w:rFonts w:hint="eastAsia"/>
        </w:rPr>
        <w:t>”</w:t>
      </w:r>
      <w:r>
        <w:t>.</w:t>
      </w:r>
    </w:p>
    <w:p w:rsidR="00737FE6" w:rsidRDefault="00737FE6" w:rsidP="00900568">
      <w:pPr>
        <w:pStyle w:val="Para2"/>
        <w:sectPr w:rsidR="00737FE6" w:rsidSect="00DD2A5E">
          <w:pgSz w:w="11906" w:h="16838" w:code="9"/>
          <w:pgMar w:top="1134" w:right="964" w:bottom="964" w:left="1134" w:header="794" w:footer="510" w:gutter="0"/>
          <w:cols w:space="708"/>
          <w:docGrid w:linePitch="360"/>
        </w:sectPr>
      </w:pPr>
    </w:p>
    <w:p w:rsidR="004D308D" w:rsidRDefault="004D308D" w:rsidP="00900568">
      <w:pPr>
        <w:pStyle w:val="Para2"/>
      </w:pPr>
      <w:r>
        <w:lastRenderedPageBreak/>
        <w:t>The table below supplies average daily sewage design flows for other Department</w:t>
      </w:r>
      <w:r>
        <w:rPr>
          <w:rFonts w:hint="eastAsia"/>
        </w:rPr>
        <w:t>’</w:t>
      </w:r>
      <w:r>
        <w:t>s works:</w:t>
      </w:r>
    </w:p>
    <w:tbl>
      <w:tblPr>
        <w:tblStyle w:val="TableGrid"/>
        <w:tblW w:w="9072" w:type="dxa"/>
        <w:tblInd w:w="81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3686"/>
        <w:gridCol w:w="5386"/>
      </w:tblGrid>
      <w:tr w:rsidR="00937F84" w:rsidRPr="00000D74" w:rsidTr="00703261">
        <w:trPr>
          <w:tblHeader/>
        </w:trPr>
        <w:tc>
          <w:tcPr>
            <w:tcW w:w="9072" w:type="dxa"/>
            <w:gridSpan w:val="2"/>
            <w:tcBorders>
              <w:bottom w:val="single" w:sz="12" w:space="0" w:color="000000" w:themeColor="text1"/>
            </w:tcBorders>
            <w:vAlign w:val="center"/>
          </w:tcPr>
          <w:p w:rsidR="00937F84" w:rsidRPr="00000D74" w:rsidRDefault="00937F84" w:rsidP="00CF286A">
            <w:pPr>
              <w:pStyle w:val="TableHeading"/>
              <w:rPr>
                <w:lang w:val="en-US"/>
              </w:rPr>
            </w:pPr>
            <w:r>
              <w:rPr>
                <w:lang w:val="en-US"/>
              </w:rPr>
              <w:t>SEWAGE DESIGN FL</w:t>
            </w:r>
            <w:r w:rsidR="00CF286A">
              <w:rPr>
                <w:lang w:val="en-US"/>
              </w:rPr>
              <w:t>OW</w:t>
            </w:r>
            <w:r>
              <w:rPr>
                <w:lang w:val="en-US"/>
              </w:rPr>
              <w:t>S</w:t>
            </w:r>
          </w:p>
        </w:tc>
      </w:tr>
      <w:tr w:rsidR="00937F84" w:rsidRPr="00AE6856" w:rsidTr="00703261">
        <w:trPr>
          <w:tblHeader/>
        </w:trPr>
        <w:tc>
          <w:tcPr>
            <w:tcW w:w="3686" w:type="dxa"/>
            <w:tcBorders>
              <w:top w:val="single" w:sz="12" w:space="0" w:color="000000" w:themeColor="text1"/>
              <w:bottom w:val="single" w:sz="12" w:space="0" w:color="000000" w:themeColor="text1"/>
            </w:tcBorders>
            <w:vAlign w:val="center"/>
          </w:tcPr>
          <w:p w:rsidR="00937F84" w:rsidRPr="00AE6856" w:rsidRDefault="00937F84" w:rsidP="002E3CE9">
            <w:pPr>
              <w:pStyle w:val="TableHeading"/>
            </w:pPr>
            <w:r>
              <w:t>Description</w:t>
            </w:r>
          </w:p>
        </w:tc>
        <w:tc>
          <w:tcPr>
            <w:tcW w:w="5386" w:type="dxa"/>
            <w:tcBorders>
              <w:top w:val="single" w:sz="12" w:space="0" w:color="000000" w:themeColor="text1"/>
              <w:bottom w:val="single" w:sz="12" w:space="0" w:color="000000" w:themeColor="text1"/>
            </w:tcBorders>
          </w:tcPr>
          <w:p w:rsidR="00937F84" w:rsidRPr="00AE6856" w:rsidRDefault="00937F84" w:rsidP="002E3CE9">
            <w:pPr>
              <w:pStyle w:val="TableHeading"/>
            </w:pPr>
            <w:r>
              <w:t>Design Value</w:t>
            </w:r>
          </w:p>
        </w:tc>
      </w:tr>
      <w:tr w:rsidR="00A42489" w:rsidRPr="00000D74" w:rsidTr="00703261">
        <w:tc>
          <w:tcPr>
            <w:tcW w:w="3686" w:type="dxa"/>
            <w:tcBorders>
              <w:top w:val="single" w:sz="12" w:space="0" w:color="000000" w:themeColor="text1"/>
            </w:tcBorders>
            <w:vAlign w:val="center"/>
          </w:tcPr>
          <w:p w:rsidR="00A42489" w:rsidRPr="00085C1D" w:rsidRDefault="00A42489" w:rsidP="002E3CE9">
            <w:pPr>
              <w:pStyle w:val="Table-Singlerowsentries"/>
            </w:pPr>
            <w:r>
              <w:t>Residential Housing</w:t>
            </w:r>
          </w:p>
        </w:tc>
        <w:tc>
          <w:tcPr>
            <w:tcW w:w="5386" w:type="dxa"/>
            <w:tcBorders>
              <w:top w:val="single" w:sz="12" w:space="0" w:color="000000" w:themeColor="text1"/>
            </w:tcBorders>
            <w:vAlign w:val="center"/>
          </w:tcPr>
          <w:p w:rsidR="00A42489" w:rsidRPr="002560BC" w:rsidRDefault="00A42489" w:rsidP="000E79EF">
            <w:pPr>
              <w:pStyle w:val="Table-Singlerowsentries"/>
              <w:jc w:val="center"/>
            </w:pPr>
            <w:r>
              <w:t xml:space="preserve">900 </w:t>
            </w:r>
            <w:r w:rsidRPr="00A20C56">
              <w:t>ℓ</w:t>
            </w:r>
            <w:r>
              <w:t>/</w:t>
            </w:r>
            <w:r w:rsidR="000E79EF">
              <w:t>h</w:t>
            </w:r>
            <w:r>
              <w:t>/d</w:t>
            </w:r>
          </w:p>
        </w:tc>
      </w:tr>
      <w:tr w:rsidR="00A42489" w:rsidRPr="00000D74" w:rsidTr="00703261">
        <w:tc>
          <w:tcPr>
            <w:tcW w:w="3686" w:type="dxa"/>
            <w:vAlign w:val="center"/>
          </w:tcPr>
          <w:p w:rsidR="00A42489" w:rsidRDefault="00A42489" w:rsidP="002E3CE9">
            <w:pPr>
              <w:pStyle w:val="Table-Singlerowsentries"/>
            </w:pPr>
            <w:r>
              <w:t>Single Quarters</w:t>
            </w:r>
          </w:p>
        </w:tc>
        <w:tc>
          <w:tcPr>
            <w:tcW w:w="5386" w:type="dxa"/>
            <w:vAlign w:val="center"/>
          </w:tcPr>
          <w:p w:rsidR="00A42489" w:rsidRPr="00A20C56" w:rsidRDefault="000E79EF" w:rsidP="000E79EF">
            <w:pPr>
              <w:pStyle w:val="Table-Singlerowsentries"/>
              <w:jc w:val="center"/>
            </w:pPr>
            <w:r>
              <w:t>36</w:t>
            </w:r>
            <w:r w:rsidR="00A42489">
              <w:t>0</w:t>
            </w:r>
            <w:r>
              <w:t xml:space="preserve"> </w:t>
            </w:r>
            <w:r w:rsidR="00A42489" w:rsidRPr="00A20C56">
              <w:t>ℓ</w:t>
            </w:r>
            <w:r w:rsidR="00A42489">
              <w:t>/</w:t>
            </w:r>
            <w:r>
              <w:t>u</w:t>
            </w:r>
            <w:r w:rsidR="00A42489">
              <w:t>/d</w:t>
            </w:r>
          </w:p>
        </w:tc>
      </w:tr>
      <w:tr w:rsidR="00A42489" w:rsidRPr="00000D74" w:rsidTr="00703261">
        <w:tc>
          <w:tcPr>
            <w:tcW w:w="3686" w:type="dxa"/>
            <w:vAlign w:val="center"/>
          </w:tcPr>
          <w:p w:rsidR="00A42489" w:rsidRDefault="00A42489" w:rsidP="002E3CE9">
            <w:pPr>
              <w:pStyle w:val="Table-Singlerowsentries"/>
            </w:pPr>
            <w:r>
              <w:t>Offices and Administration</w:t>
            </w:r>
          </w:p>
        </w:tc>
        <w:tc>
          <w:tcPr>
            <w:tcW w:w="5386" w:type="dxa"/>
            <w:vAlign w:val="center"/>
          </w:tcPr>
          <w:p w:rsidR="00A42489" w:rsidRDefault="000E79EF" w:rsidP="002E3CE9">
            <w:pPr>
              <w:pStyle w:val="Table-Singlerowsentries"/>
              <w:jc w:val="center"/>
            </w:pPr>
            <w:r>
              <w:t xml:space="preserve">67 </w:t>
            </w:r>
            <w:r w:rsidR="00A42489" w:rsidRPr="00A20C56">
              <w:t>ℓ</w:t>
            </w:r>
            <w:r>
              <w:t>/p</w:t>
            </w:r>
            <w:r w:rsidR="00A42489">
              <w:t>/d</w:t>
            </w:r>
          </w:p>
        </w:tc>
      </w:tr>
      <w:tr w:rsidR="00A42489" w:rsidRPr="00000D74" w:rsidTr="00703261">
        <w:tc>
          <w:tcPr>
            <w:tcW w:w="3686" w:type="dxa"/>
            <w:vAlign w:val="center"/>
          </w:tcPr>
          <w:p w:rsidR="00A42489" w:rsidRDefault="00A42489" w:rsidP="002E3CE9">
            <w:pPr>
              <w:pStyle w:val="Table-Singlerowsentries"/>
            </w:pPr>
            <w:r>
              <w:t>Kitchen</w:t>
            </w:r>
          </w:p>
        </w:tc>
        <w:tc>
          <w:tcPr>
            <w:tcW w:w="5386" w:type="dxa"/>
            <w:vAlign w:val="center"/>
          </w:tcPr>
          <w:p w:rsidR="00A42489" w:rsidRDefault="002E3CE9" w:rsidP="002E3CE9">
            <w:pPr>
              <w:pStyle w:val="Table-Singlerowsentries"/>
              <w:jc w:val="center"/>
            </w:pPr>
            <w:r>
              <w:t xml:space="preserve">81 </w:t>
            </w:r>
            <w:r w:rsidRPr="00A20C56">
              <w:t>ℓ</w:t>
            </w:r>
            <w:r>
              <w:t>/p/d</w:t>
            </w:r>
          </w:p>
        </w:tc>
      </w:tr>
      <w:tr w:rsidR="00A42489" w:rsidRPr="00000D74" w:rsidTr="00703261">
        <w:tc>
          <w:tcPr>
            <w:tcW w:w="3686" w:type="dxa"/>
            <w:vAlign w:val="center"/>
          </w:tcPr>
          <w:p w:rsidR="00A42489" w:rsidRDefault="00A42489" w:rsidP="002E3CE9">
            <w:pPr>
              <w:pStyle w:val="Table-Singlerowsentries"/>
            </w:pPr>
            <w:r>
              <w:t>Clinic</w:t>
            </w:r>
          </w:p>
        </w:tc>
        <w:tc>
          <w:tcPr>
            <w:tcW w:w="5386" w:type="dxa"/>
            <w:vAlign w:val="center"/>
          </w:tcPr>
          <w:p w:rsidR="00A42489" w:rsidRDefault="002E3CE9" w:rsidP="002E3CE9">
            <w:pPr>
              <w:pStyle w:val="Table-Singlerowsentries"/>
              <w:jc w:val="center"/>
            </w:pPr>
            <w:r>
              <w:t>225</w:t>
            </w:r>
            <w:r w:rsidR="00A42489" w:rsidRPr="00A20C56">
              <w:t xml:space="preserve"> ℓ</w:t>
            </w:r>
            <w:r>
              <w:t>/bed</w:t>
            </w:r>
            <w:r w:rsidR="00A42489">
              <w:t>/d</w:t>
            </w:r>
          </w:p>
        </w:tc>
      </w:tr>
      <w:tr w:rsidR="00A42489" w:rsidRPr="00000D74" w:rsidTr="00703261">
        <w:tc>
          <w:tcPr>
            <w:tcW w:w="3686" w:type="dxa"/>
            <w:vAlign w:val="center"/>
          </w:tcPr>
          <w:p w:rsidR="00A42489" w:rsidRDefault="00A42489" w:rsidP="002E3CE9">
            <w:pPr>
              <w:pStyle w:val="Table-Singlerowsentries"/>
            </w:pPr>
            <w:r>
              <w:t>Laundry</w:t>
            </w:r>
          </w:p>
        </w:tc>
        <w:tc>
          <w:tcPr>
            <w:tcW w:w="5386" w:type="dxa"/>
            <w:vAlign w:val="center"/>
          </w:tcPr>
          <w:p w:rsidR="00A42489" w:rsidRDefault="002E3CE9" w:rsidP="002E3CE9">
            <w:pPr>
              <w:pStyle w:val="Table-Singlerowsentries"/>
              <w:jc w:val="center"/>
            </w:pPr>
            <w:r>
              <w:t xml:space="preserve">14,3 </w:t>
            </w:r>
            <w:r w:rsidR="00A42489" w:rsidRPr="00A20C56">
              <w:t>ℓ</w:t>
            </w:r>
            <w:r w:rsidR="00A42489">
              <w:t>/p</w:t>
            </w:r>
            <w:r w:rsidR="00A0626C">
              <w:t>r</w:t>
            </w:r>
            <w:r w:rsidR="00A42489">
              <w:t>/d</w:t>
            </w:r>
          </w:p>
        </w:tc>
      </w:tr>
      <w:tr w:rsidR="00A42489" w:rsidRPr="00000D74" w:rsidTr="00703261">
        <w:tc>
          <w:tcPr>
            <w:tcW w:w="3686" w:type="dxa"/>
            <w:vAlign w:val="center"/>
          </w:tcPr>
          <w:p w:rsidR="00A42489" w:rsidRDefault="00A42489" w:rsidP="002E3CE9">
            <w:pPr>
              <w:pStyle w:val="Table-Singlerowsentries"/>
            </w:pPr>
            <w:r>
              <w:t>Educational</w:t>
            </w:r>
          </w:p>
        </w:tc>
        <w:tc>
          <w:tcPr>
            <w:tcW w:w="5386" w:type="dxa"/>
            <w:vAlign w:val="center"/>
          </w:tcPr>
          <w:p w:rsidR="00A42489" w:rsidRDefault="000B2F30" w:rsidP="000B2F30">
            <w:pPr>
              <w:pStyle w:val="Table-Singlerowsentries"/>
              <w:jc w:val="center"/>
            </w:pPr>
            <w:r>
              <w:t xml:space="preserve">43 </w:t>
            </w:r>
            <w:r w:rsidR="00A42489" w:rsidRPr="00A20C56">
              <w:t>ℓ</w:t>
            </w:r>
            <w:r w:rsidR="00A42489">
              <w:t>/</w:t>
            </w:r>
            <w:r>
              <w:t>student</w:t>
            </w:r>
            <w:r w:rsidR="00A42489">
              <w:t>/d</w:t>
            </w:r>
          </w:p>
        </w:tc>
      </w:tr>
      <w:tr w:rsidR="00A42489" w:rsidRPr="00000D74" w:rsidTr="00703261">
        <w:tc>
          <w:tcPr>
            <w:tcW w:w="3686" w:type="dxa"/>
            <w:vAlign w:val="center"/>
          </w:tcPr>
          <w:p w:rsidR="00A42489" w:rsidRDefault="00A42489" w:rsidP="002E3CE9">
            <w:pPr>
              <w:pStyle w:val="Table-Singlerowsentries"/>
            </w:pPr>
            <w:r>
              <w:t>Maintenance</w:t>
            </w:r>
          </w:p>
        </w:tc>
        <w:tc>
          <w:tcPr>
            <w:tcW w:w="5386" w:type="dxa"/>
            <w:vAlign w:val="center"/>
          </w:tcPr>
          <w:p w:rsidR="00A42489" w:rsidRDefault="00A42489" w:rsidP="000B2F30">
            <w:pPr>
              <w:pStyle w:val="Table-Singlerowsentries"/>
              <w:jc w:val="center"/>
            </w:pPr>
            <w:r>
              <w:t>1,</w:t>
            </w:r>
            <w:r w:rsidR="000B2F30">
              <w:t>3</w:t>
            </w:r>
            <w:r>
              <w:t xml:space="preserve">5% of total water </w:t>
            </w:r>
            <w:r w:rsidR="000B2F30">
              <w:t>intake/d</w:t>
            </w:r>
          </w:p>
        </w:tc>
      </w:tr>
      <w:tr w:rsidR="00A42489" w:rsidRPr="00000D74" w:rsidTr="00703261">
        <w:tc>
          <w:tcPr>
            <w:tcW w:w="3686" w:type="dxa"/>
            <w:vAlign w:val="center"/>
          </w:tcPr>
          <w:p w:rsidR="00A42489" w:rsidRDefault="00A42489" w:rsidP="002E3CE9">
            <w:pPr>
              <w:pStyle w:val="Table-Singlerowsentries"/>
            </w:pPr>
            <w:r>
              <w:t>Canteen</w:t>
            </w:r>
          </w:p>
        </w:tc>
        <w:tc>
          <w:tcPr>
            <w:tcW w:w="5386" w:type="dxa"/>
            <w:vAlign w:val="center"/>
          </w:tcPr>
          <w:p w:rsidR="00A42489" w:rsidRDefault="000B2F30" w:rsidP="002E3CE9">
            <w:pPr>
              <w:pStyle w:val="Table-Singlerowsentries"/>
              <w:jc w:val="center"/>
            </w:pPr>
            <w:r>
              <w:t xml:space="preserve">57 </w:t>
            </w:r>
            <w:r w:rsidR="00A42489" w:rsidRPr="00A20C56">
              <w:t>ℓ</w:t>
            </w:r>
            <w:r w:rsidR="00A42489">
              <w:t>/10m</w:t>
            </w:r>
            <w:r w:rsidR="00A42489" w:rsidRPr="00807465">
              <w:rPr>
                <w:vertAlign w:val="superscript"/>
              </w:rPr>
              <w:t>2</w:t>
            </w:r>
          </w:p>
        </w:tc>
      </w:tr>
      <w:tr w:rsidR="00A42489" w:rsidRPr="00000D74" w:rsidTr="00703261">
        <w:tc>
          <w:tcPr>
            <w:tcW w:w="3686" w:type="dxa"/>
            <w:vAlign w:val="center"/>
          </w:tcPr>
          <w:p w:rsidR="00A42489" w:rsidRDefault="00A42489" w:rsidP="002E3CE9">
            <w:pPr>
              <w:pStyle w:val="Table-Singlerowsentries"/>
            </w:pPr>
            <w:r>
              <w:t>Vocational</w:t>
            </w:r>
          </w:p>
        </w:tc>
        <w:tc>
          <w:tcPr>
            <w:tcW w:w="5386" w:type="dxa"/>
            <w:vAlign w:val="center"/>
          </w:tcPr>
          <w:p w:rsidR="00A42489" w:rsidRDefault="000B2F30" w:rsidP="002E3CE9">
            <w:pPr>
              <w:pStyle w:val="Table-Singlerowsentries"/>
              <w:jc w:val="center"/>
            </w:pPr>
            <w:r>
              <w:t xml:space="preserve">70 </w:t>
            </w:r>
            <w:r w:rsidR="00A42489" w:rsidRPr="00A20C56">
              <w:t>ℓ</w:t>
            </w:r>
            <w:r w:rsidR="00A42489">
              <w:t>/trainee/d</w:t>
            </w:r>
          </w:p>
        </w:tc>
      </w:tr>
      <w:tr w:rsidR="00A42489" w:rsidRPr="00000D74" w:rsidTr="00703261">
        <w:tc>
          <w:tcPr>
            <w:tcW w:w="3686" w:type="dxa"/>
            <w:vAlign w:val="center"/>
          </w:tcPr>
          <w:p w:rsidR="00A42489" w:rsidRDefault="00A42489" w:rsidP="002E3CE9">
            <w:pPr>
              <w:pStyle w:val="Table-Singlerowsentries"/>
            </w:pPr>
            <w:r>
              <w:t>Commercial including petrol stations</w:t>
            </w:r>
          </w:p>
        </w:tc>
        <w:tc>
          <w:tcPr>
            <w:tcW w:w="5386" w:type="dxa"/>
            <w:vAlign w:val="center"/>
          </w:tcPr>
          <w:p w:rsidR="00A42489" w:rsidRDefault="000B2F30" w:rsidP="000B2F30">
            <w:pPr>
              <w:pStyle w:val="Table-Singlerowsentries"/>
              <w:jc w:val="center"/>
            </w:pPr>
            <w:r>
              <w:t xml:space="preserve">8,5 </w:t>
            </w:r>
            <w:r w:rsidR="00A42489" w:rsidRPr="00A20C56">
              <w:t>ℓ</w:t>
            </w:r>
            <w:r w:rsidR="00A42489">
              <w:t>/10m</w:t>
            </w:r>
            <w:r w:rsidR="00A42489" w:rsidRPr="00600EF7">
              <w:rPr>
                <w:vertAlign w:val="superscript"/>
              </w:rPr>
              <w:t>2</w:t>
            </w:r>
            <w:r w:rsidR="00A42489">
              <w:t>/d</w:t>
            </w:r>
          </w:p>
        </w:tc>
      </w:tr>
      <w:tr w:rsidR="00A42489" w:rsidRPr="00000D74" w:rsidTr="00703261">
        <w:tc>
          <w:tcPr>
            <w:tcW w:w="3686" w:type="dxa"/>
            <w:vAlign w:val="center"/>
          </w:tcPr>
          <w:p w:rsidR="00A42489" w:rsidRDefault="00A42489" w:rsidP="002E3CE9">
            <w:pPr>
              <w:pStyle w:val="Table-Singlerowsentries"/>
            </w:pPr>
            <w:r>
              <w:t>Chapel or church</w:t>
            </w:r>
          </w:p>
        </w:tc>
        <w:tc>
          <w:tcPr>
            <w:tcW w:w="5386" w:type="dxa"/>
            <w:vAlign w:val="center"/>
          </w:tcPr>
          <w:p w:rsidR="00A42489" w:rsidRDefault="000B2F30" w:rsidP="000B2F30">
            <w:pPr>
              <w:pStyle w:val="Table-Singlerowsentries"/>
              <w:jc w:val="center"/>
            </w:pPr>
            <w:r>
              <w:t xml:space="preserve">19 </w:t>
            </w:r>
            <w:r w:rsidR="00A42489" w:rsidRPr="00A20C56">
              <w:t>ℓ</w:t>
            </w:r>
            <w:r w:rsidR="00A42489">
              <w:t>/p/d</w:t>
            </w:r>
          </w:p>
        </w:tc>
      </w:tr>
      <w:tr w:rsidR="00A42489" w:rsidRPr="00000D74" w:rsidTr="00703261">
        <w:tc>
          <w:tcPr>
            <w:tcW w:w="3686" w:type="dxa"/>
            <w:vAlign w:val="center"/>
          </w:tcPr>
          <w:p w:rsidR="00A42489" w:rsidRDefault="00A42489" w:rsidP="002E3CE9">
            <w:pPr>
              <w:pStyle w:val="Table-Singlerowsentries"/>
            </w:pPr>
            <w:r>
              <w:t>Schools</w:t>
            </w:r>
          </w:p>
        </w:tc>
        <w:tc>
          <w:tcPr>
            <w:tcW w:w="5386" w:type="dxa"/>
            <w:vAlign w:val="center"/>
          </w:tcPr>
          <w:p w:rsidR="00A42489" w:rsidRDefault="000B2F30" w:rsidP="000B2F30">
            <w:pPr>
              <w:pStyle w:val="Table-Singlerowsentries"/>
              <w:jc w:val="center"/>
            </w:pPr>
            <w:r>
              <w:t xml:space="preserve">37 </w:t>
            </w:r>
            <w:r w:rsidR="00A42489" w:rsidRPr="00A20C56">
              <w:t>ℓ</w:t>
            </w:r>
            <w:r w:rsidR="00A42489">
              <w:t>/</w:t>
            </w:r>
            <w:r>
              <w:t>p</w:t>
            </w:r>
            <w:r w:rsidR="00A42489">
              <w:t>/d</w:t>
            </w:r>
          </w:p>
        </w:tc>
      </w:tr>
      <w:tr w:rsidR="00A42489" w:rsidRPr="00000D74" w:rsidTr="00703261">
        <w:tc>
          <w:tcPr>
            <w:tcW w:w="3686" w:type="dxa"/>
            <w:vAlign w:val="center"/>
          </w:tcPr>
          <w:p w:rsidR="00A42489" w:rsidRDefault="00A42489" w:rsidP="002E3CE9">
            <w:pPr>
              <w:pStyle w:val="Table-Singlerowsentries"/>
            </w:pPr>
            <w:r>
              <w:t>Industrial / manufacturing / repair</w:t>
            </w:r>
          </w:p>
        </w:tc>
        <w:tc>
          <w:tcPr>
            <w:tcW w:w="5386" w:type="dxa"/>
            <w:vAlign w:val="center"/>
          </w:tcPr>
          <w:p w:rsidR="00A42489" w:rsidRPr="002560BC" w:rsidRDefault="000B2F30" w:rsidP="000B2F30">
            <w:pPr>
              <w:pStyle w:val="Table-Singlerowsentries"/>
              <w:jc w:val="center"/>
            </w:pPr>
            <w:r>
              <w:t xml:space="preserve">140 </w:t>
            </w:r>
            <w:r w:rsidR="00A42489" w:rsidRPr="00A20C56">
              <w:t>ℓ</w:t>
            </w:r>
            <w:r w:rsidR="00A42489">
              <w:t>/</w:t>
            </w:r>
            <w:r>
              <w:t>p/</w:t>
            </w:r>
            <w:r w:rsidR="00A42489">
              <w:t>d</w:t>
            </w:r>
          </w:p>
        </w:tc>
      </w:tr>
    </w:tbl>
    <w:p w:rsidR="00737FE6" w:rsidRDefault="00737FE6" w:rsidP="00E1550C">
      <w:pPr>
        <w:pStyle w:val="Table-PlainText"/>
        <w:rPr>
          <w:b/>
        </w:rPr>
      </w:pPr>
    </w:p>
    <w:tbl>
      <w:tblPr>
        <w:tblStyle w:val="TableGrid"/>
        <w:tblW w:w="9117" w:type="dxa"/>
        <w:tblInd w:w="817"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tblPr>
      <w:tblGrid>
        <w:gridCol w:w="614"/>
        <w:gridCol w:w="373"/>
        <w:gridCol w:w="838"/>
        <w:gridCol w:w="1376"/>
        <w:gridCol w:w="725"/>
        <w:gridCol w:w="373"/>
        <w:gridCol w:w="868"/>
        <w:gridCol w:w="1376"/>
        <w:gridCol w:w="744"/>
        <w:gridCol w:w="375"/>
        <w:gridCol w:w="938"/>
        <w:gridCol w:w="517"/>
      </w:tblGrid>
      <w:tr w:rsidR="00737FE6" w:rsidTr="00737FE6">
        <w:tc>
          <w:tcPr>
            <w:tcW w:w="9117" w:type="dxa"/>
            <w:gridSpan w:val="12"/>
            <w:tcBorders>
              <w:top w:val="single" w:sz="12" w:space="0" w:color="auto"/>
              <w:bottom w:val="single" w:sz="6" w:space="0" w:color="auto"/>
            </w:tcBorders>
            <w:vAlign w:val="center"/>
          </w:tcPr>
          <w:p w:rsidR="00737FE6" w:rsidRPr="00FD338B" w:rsidRDefault="00737FE6" w:rsidP="00737FE6">
            <w:pPr>
              <w:pStyle w:val="Table-Singlerowsentries"/>
              <w:rPr>
                <w:b/>
              </w:rPr>
            </w:pPr>
            <w:r w:rsidRPr="00FD338B">
              <w:rPr>
                <w:b/>
              </w:rPr>
              <w:t>LEGEND:</w:t>
            </w:r>
          </w:p>
        </w:tc>
      </w:tr>
      <w:tr w:rsidR="00737FE6" w:rsidRPr="00737FE6" w:rsidTr="00737FE6">
        <w:tc>
          <w:tcPr>
            <w:tcW w:w="623" w:type="dxa"/>
            <w:tcBorders>
              <w:top w:val="single" w:sz="6" w:space="0" w:color="auto"/>
            </w:tcBorders>
            <w:vAlign w:val="center"/>
          </w:tcPr>
          <w:p w:rsidR="00737FE6" w:rsidRPr="00737FE6" w:rsidRDefault="00737FE6" w:rsidP="00737FE6">
            <w:pPr>
              <w:pStyle w:val="Table-Singlerowsentries"/>
              <w:jc w:val="center"/>
              <w:rPr>
                <w:b/>
                <w:i/>
              </w:rPr>
            </w:pPr>
            <w:r w:rsidRPr="00737FE6">
              <w:rPr>
                <w:b/>
                <w:i/>
              </w:rPr>
              <w:t>ℓ</w:t>
            </w:r>
          </w:p>
        </w:tc>
        <w:tc>
          <w:tcPr>
            <w:tcW w:w="373" w:type="dxa"/>
            <w:tcBorders>
              <w:top w:val="single" w:sz="6" w:space="0" w:color="auto"/>
            </w:tcBorders>
            <w:vAlign w:val="center"/>
          </w:tcPr>
          <w:p w:rsidR="00737FE6" w:rsidRPr="00737FE6" w:rsidRDefault="00737FE6" w:rsidP="00737FE6">
            <w:pPr>
              <w:pStyle w:val="Table-Singlerowsentries"/>
              <w:jc w:val="center"/>
              <w:rPr>
                <w:i/>
              </w:rPr>
            </w:pPr>
            <w:r w:rsidRPr="00737FE6">
              <w:rPr>
                <w:i/>
              </w:rPr>
              <w:t>=</w:t>
            </w:r>
          </w:p>
        </w:tc>
        <w:tc>
          <w:tcPr>
            <w:tcW w:w="763" w:type="dxa"/>
            <w:tcBorders>
              <w:top w:val="single" w:sz="6" w:space="0" w:color="auto"/>
            </w:tcBorders>
            <w:vAlign w:val="center"/>
          </w:tcPr>
          <w:p w:rsidR="00737FE6" w:rsidRPr="00737FE6" w:rsidRDefault="00737FE6" w:rsidP="00737FE6">
            <w:pPr>
              <w:pStyle w:val="Table-Singlerowsentries"/>
              <w:jc w:val="center"/>
              <w:rPr>
                <w:i/>
              </w:rPr>
            </w:pPr>
            <w:proofErr w:type="spellStart"/>
            <w:r w:rsidRPr="00737FE6">
              <w:rPr>
                <w:i/>
              </w:rPr>
              <w:t>Liter</w:t>
            </w:r>
            <w:proofErr w:type="spellEnd"/>
          </w:p>
        </w:tc>
        <w:tc>
          <w:tcPr>
            <w:tcW w:w="1417" w:type="dxa"/>
            <w:tcBorders>
              <w:top w:val="single" w:sz="6" w:space="0" w:color="auto"/>
            </w:tcBorders>
            <w:vAlign w:val="center"/>
          </w:tcPr>
          <w:p w:rsidR="00737FE6" w:rsidRPr="00737FE6" w:rsidRDefault="00737FE6" w:rsidP="00737FE6">
            <w:pPr>
              <w:pStyle w:val="Table-Singlerowsentries"/>
              <w:jc w:val="center"/>
              <w:rPr>
                <w:i/>
              </w:rPr>
            </w:pPr>
          </w:p>
        </w:tc>
        <w:tc>
          <w:tcPr>
            <w:tcW w:w="737" w:type="dxa"/>
            <w:tcBorders>
              <w:top w:val="single" w:sz="6" w:space="0" w:color="auto"/>
            </w:tcBorders>
            <w:vAlign w:val="center"/>
          </w:tcPr>
          <w:p w:rsidR="00737FE6" w:rsidRPr="00737FE6" w:rsidRDefault="00737FE6" w:rsidP="00737FE6">
            <w:pPr>
              <w:pStyle w:val="Table-Singlerowsentries"/>
              <w:jc w:val="center"/>
              <w:rPr>
                <w:b/>
                <w:i/>
              </w:rPr>
            </w:pPr>
            <w:r>
              <w:rPr>
                <w:b/>
                <w:i/>
              </w:rPr>
              <w:t>b</w:t>
            </w:r>
          </w:p>
        </w:tc>
        <w:tc>
          <w:tcPr>
            <w:tcW w:w="373" w:type="dxa"/>
            <w:tcBorders>
              <w:top w:val="single" w:sz="6" w:space="0" w:color="auto"/>
            </w:tcBorders>
            <w:vAlign w:val="center"/>
          </w:tcPr>
          <w:p w:rsidR="00737FE6" w:rsidRPr="00737FE6" w:rsidRDefault="00737FE6" w:rsidP="00737FE6">
            <w:pPr>
              <w:pStyle w:val="Table-Singlerowsentries"/>
              <w:jc w:val="center"/>
              <w:rPr>
                <w:i/>
              </w:rPr>
            </w:pPr>
            <w:r w:rsidRPr="00737FE6">
              <w:rPr>
                <w:i/>
              </w:rPr>
              <w:t>=</w:t>
            </w:r>
          </w:p>
        </w:tc>
        <w:tc>
          <w:tcPr>
            <w:tcW w:w="878" w:type="dxa"/>
            <w:tcBorders>
              <w:top w:val="single" w:sz="6" w:space="0" w:color="auto"/>
            </w:tcBorders>
            <w:vAlign w:val="center"/>
          </w:tcPr>
          <w:p w:rsidR="00737FE6" w:rsidRPr="00737FE6" w:rsidRDefault="00737FE6" w:rsidP="00737FE6">
            <w:pPr>
              <w:pStyle w:val="Table-Singlerowsentries"/>
              <w:jc w:val="center"/>
              <w:rPr>
                <w:i/>
              </w:rPr>
            </w:pPr>
            <w:r>
              <w:rPr>
                <w:i/>
              </w:rPr>
              <w:t>Bed</w:t>
            </w:r>
          </w:p>
        </w:tc>
        <w:tc>
          <w:tcPr>
            <w:tcW w:w="1417" w:type="dxa"/>
            <w:tcBorders>
              <w:top w:val="single" w:sz="6" w:space="0" w:color="auto"/>
            </w:tcBorders>
            <w:vAlign w:val="center"/>
          </w:tcPr>
          <w:p w:rsidR="00737FE6" w:rsidRPr="00737FE6" w:rsidRDefault="00737FE6" w:rsidP="00737FE6">
            <w:pPr>
              <w:pStyle w:val="Table-Singlerowsentries"/>
              <w:jc w:val="center"/>
              <w:rPr>
                <w:i/>
              </w:rPr>
            </w:pPr>
          </w:p>
        </w:tc>
        <w:tc>
          <w:tcPr>
            <w:tcW w:w="755" w:type="dxa"/>
            <w:tcBorders>
              <w:top w:val="single" w:sz="6" w:space="0" w:color="auto"/>
            </w:tcBorders>
            <w:vAlign w:val="center"/>
          </w:tcPr>
          <w:p w:rsidR="00737FE6" w:rsidRPr="00737FE6" w:rsidRDefault="00737FE6" w:rsidP="00737FE6">
            <w:pPr>
              <w:pStyle w:val="Table-Singlerowsentries"/>
              <w:jc w:val="center"/>
              <w:rPr>
                <w:b/>
                <w:i/>
              </w:rPr>
            </w:pPr>
            <w:r>
              <w:rPr>
                <w:b/>
                <w:i/>
              </w:rPr>
              <w:t>h</w:t>
            </w:r>
          </w:p>
        </w:tc>
        <w:tc>
          <w:tcPr>
            <w:tcW w:w="375" w:type="dxa"/>
            <w:tcBorders>
              <w:top w:val="single" w:sz="6" w:space="0" w:color="auto"/>
            </w:tcBorders>
            <w:vAlign w:val="center"/>
          </w:tcPr>
          <w:p w:rsidR="00737FE6" w:rsidRPr="00737FE6" w:rsidRDefault="00737FE6" w:rsidP="00737FE6">
            <w:pPr>
              <w:pStyle w:val="Table-Singlerowsentries"/>
              <w:jc w:val="center"/>
              <w:rPr>
                <w:i/>
              </w:rPr>
            </w:pPr>
            <w:r>
              <w:rPr>
                <w:i/>
              </w:rPr>
              <w:t>=</w:t>
            </w:r>
          </w:p>
        </w:tc>
        <w:tc>
          <w:tcPr>
            <w:tcW w:w="879" w:type="dxa"/>
            <w:tcBorders>
              <w:top w:val="single" w:sz="6" w:space="0" w:color="auto"/>
            </w:tcBorders>
            <w:vAlign w:val="center"/>
          </w:tcPr>
          <w:p w:rsidR="00737FE6" w:rsidRPr="00737FE6" w:rsidRDefault="00737FE6" w:rsidP="00737FE6">
            <w:pPr>
              <w:pStyle w:val="Table-Singlerowsentries"/>
              <w:jc w:val="center"/>
              <w:rPr>
                <w:i/>
              </w:rPr>
            </w:pPr>
            <w:r>
              <w:rPr>
                <w:i/>
              </w:rPr>
              <w:t>Head</w:t>
            </w:r>
          </w:p>
        </w:tc>
        <w:tc>
          <w:tcPr>
            <w:tcW w:w="527" w:type="dxa"/>
            <w:tcBorders>
              <w:top w:val="single" w:sz="6" w:space="0" w:color="auto"/>
            </w:tcBorders>
            <w:vAlign w:val="center"/>
          </w:tcPr>
          <w:p w:rsidR="00737FE6" w:rsidRPr="00737FE6" w:rsidRDefault="00737FE6" w:rsidP="00737FE6">
            <w:pPr>
              <w:pStyle w:val="Table-Singlerowsentries"/>
              <w:jc w:val="center"/>
              <w:rPr>
                <w:i/>
              </w:rPr>
            </w:pPr>
          </w:p>
        </w:tc>
      </w:tr>
      <w:tr w:rsidR="00737FE6" w:rsidRPr="00737FE6" w:rsidTr="00737FE6">
        <w:tc>
          <w:tcPr>
            <w:tcW w:w="623" w:type="dxa"/>
            <w:vAlign w:val="center"/>
          </w:tcPr>
          <w:p w:rsidR="00737FE6" w:rsidRPr="00737FE6" w:rsidRDefault="00737FE6" w:rsidP="00737FE6">
            <w:pPr>
              <w:pStyle w:val="Table-Singlerowsentries"/>
              <w:jc w:val="center"/>
              <w:rPr>
                <w:b/>
                <w:i/>
              </w:rPr>
            </w:pPr>
            <w:r>
              <w:rPr>
                <w:b/>
                <w:i/>
              </w:rPr>
              <w:t>u</w:t>
            </w:r>
          </w:p>
        </w:tc>
        <w:tc>
          <w:tcPr>
            <w:tcW w:w="373" w:type="dxa"/>
            <w:vAlign w:val="center"/>
          </w:tcPr>
          <w:p w:rsidR="00737FE6" w:rsidRPr="00737FE6" w:rsidRDefault="00737FE6" w:rsidP="00737FE6">
            <w:pPr>
              <w:pStyle w:val="Table-Singlerowsentries"/>
              <w:jc w:val="center"/>
              <w:rPr>
                <w:i/>
              </w:rPr>
            </w:pPr>
            <w:r w:rsidRPr="00737FE6">
              <w:rPr>
                <w:i/>
              </w:rPr>
              <w:t>=</w:t>
            </w:r>
          </w:p>
        </w:tc>
        <w:tc>
          <w:tcPr>
            <w:tcW w:w="763" w:type="dxa"/>
            <w:vAlign w:val="center"/>
          </w:tcPr>
          <w:p w:rsidR="00737FE6" w:rsidRPr="00737FE6" w:rsidRDefault="00737FE6" w:rsidP="00737FE6">
            <w:pPr>
              <w:pStyle w:val="Table-Singlerowsentries"/>
              <w:jc w:val="center"/>
              <w:rPr>
                <w:i/>
              </w:rPr>
            </w:pPr>
            <w:r>
              <w:rPr>
                <w:i/>
              </w:rPr>
              <w:t>Unit</w:t>
            </w:r>
          </w:p>
        </w:tc>
        <w:tc>
          <w:tcPr>
            <w:tcW w:w="1417" w:type="dxa"/>
            <w:vAlign w:val="center"/>
          </w:tcPr>
          <w:p w:rsidR="00737FE6" w:rsidRPr="00737FE6" w:rsidRDefault="00737FE6" w:rsidP="00737FE6">
            <w:pPr>
              <w:pStyle w:val="Table-Singlerowsentries"/>
              <w:jc w:val="center"/>
              <w:rPr>
                <w:i/>
              </w:rPr>
            </w:pPr>
          </w:p>
        </w:tc>
        <w:tc>
          <w:tcPr>
            <w:tcW w:w="737" w:type="dxa"/>
            <w:vAlign w:val="center"/>
          </w:tcPr>
          <w:p w:rsidR="00737FE6" w:rsidRPr="00737FE6" w:rsidRDefault="00737FE6" w:rsidP="00737FE6">
            <w:pPr>
              <w:pStyle w:val="Table-Singlerowsentries"/>
              <w:jc w:val="center"/>
              <w:rPr>
                <w:b/>
                <w:i/>
              </w:rPr>
            </w:pPr>
            <w:r>
              <w:rPr>
                <w:b/>
                <w:i/>
              </w:rPr>
              <w:t>d</w:t>
            </w:r>
          </w:p>
        </w:tc>
        <w:tc>
          <w:tcPr>
            <w:tcW w:w="373" w:type="dxa"/>
            <w:vAlign w:val="center"/>
          </w:tcPr>
          <w:p w:rsidR="00737FE6" w:rsidRPr="00737FE6" w:rsidRDefault="00737FE6" w:rsidP="00737FE6">
            <w:pPr>
              <w:pStyle w:val="Table-Singlerowsentries"/>
              <w:jc w:val="center"/>
              <w:rPr>
                <w:i/>
              </w:rPr>
            </w:pPr>
            <w:r>
              <w:rPr>
                <w:i/>
              </w:rPr>
              <w:t>=</w:t>
            </w:r>
          </w:p>
        </w:tc>
        <w:tc>
          <w:tcPr>
            <w:tcW w:w="878" w:type="dxa"/>
            <w:vAlign w:val="center"/>
          </w:tcPr>
          <w:p w:rsidR="00737FE6" w:rsidRPr="00737FE6" w:rsidRDefault="00737FE6" w:rsidP="00737FE6">
            <w:pPr>
              <w:pStyle w:val="Table-Singlerowsentries"/>
              <w:jc w:val="center"/>
              <w:rPr>
                <w:i/>
              </w:rPr>
            </w:pPr>
            <w:r>
              <w:rPr>
                <w:i/>
              </w:rPr>
              <w:t>Day</w:t>
            </w:r>
          </w:p>
        </w:tc>
        <w:tc>
          <w:tcPr>
            <w:tcW w:w="1417" w:type="dxa"/>
            <w:vAlign w:val="center"/>
          </w:tcPr>
          <w:p w:rsidR="00737FE6" w:rsidRPr="00737FE6" w:rsidRDefault="00737FE6" w:rsidP="00737FE6">
            <w:pPr>
              <w:pStyle w:val="Table-Singlerowsentries"/>
              <w:jc w:val="center"/>
              <w:rPr>
                <w:i/>
              </w:rPr>
            </w:pPr>
          </w:p>
        </w:tc>
        <w:tc>
          <w:tcPr>
            <w:tcW w:w="755" w:type="dxa"/>
            <w:vAlign w:val="center"/>
          </w:tcPr>
          <w:p w:rsidR="00737FE6" w:rsidRPr="00737FE6" w:rsidRDefault="00737FE6" w:rsidP="00737FE6">
            <w:pPr>
              <w:pStyle w:val="Table-Singlerowsentries"/>
              <w:jc w:val="center"/>
              <w:rPr>
                <w:i/>
              </w:rPr>
            </w:pPr>
            <w:r>
              <w:rPr>
                <w:i/>
              </w:rPr>
              <w:t>pr</w:t>
            </w:r>
          </w:p>
        </w:tc>
        <w:tc>
          <w:tcPr>
            <w:tcW w:w="375" w:type="dxa"/>
            <w:vAlign w:val="center"/>
          </w:tcPr>
          <w:p w:rsidR="00737FE6" w:rsidRPr="00737FE6" w:rsidRDefault="00737FE6" w:rsidP="00737FE6">
            <w:pPr>
              <w:pStyle w:val="Table-Singlerowsentries"/>
              <w:jc w:val="center"/>
              <w:rPr>
                <w:i/>
              </w:rPr>
            </w:pPr>
            <w:r>
              <w:rPr>
                <w:i/>
              </w:rPr>
              <w:t>=</w:t>
            </w:r>
          </w:p>
        </w:tc>
        <w:tc>
          <w:tcPr>
            <w:tcW w:w="879" w:type="dxa"/>
            <w:vAlign w:val="center"/>
          </w:tcPr>
          <w:p w:rsidR="00737FE6" w:rsidRPr="00737FE6" w:rsidRDefault="00737FE6" w:rsidP="00737FE6">
            <w:pPr>
              <w:pStyle w:val="Table-Singlerowsentries"/>
              <w:jc w:val="center"/>
              <w:rPr>
                <w:i/>
              </w:rPr>
            </w:pPr>
            <w:r>
              <w:rPr>
                <w:i/>
              </w:rPr>
              <w:t>Prisoner</w:t>
            </w:r>
          </w:p>
        </w:tc>
        <w:tc>
          <w:tcPr>
            <w:tcW w:w="527" w:type="dxa"/>
            <w:vAlign w:val="center"/>
          </w:tcPr>
          <w:p w:rsidR="00737FE6" w:rsidRPr="00737FE6" w:rsidRDefault="00737FE6" w:rsidP="00737FE6">
            <w:pPr>
              <w:pStyle w:val="Table-Singlerowsentries"/>
              <w:jc w:val="center"/>
              <w:rPr>
                <w:i/>
              </w:rPr>
            </w:pPr>
          </w:p>
        </w:tc>
      </w:tr>
      <w:tr w:rsidR="00737FE6" w:rsidRPr="00737FE6" w:rsidTr="00737FE6">
        <w:tc>
          <w:tcPr>
            <w:tcW w:w="623" w:type="dxa"/>
            <w:vAlign w:val="center"/>
          </w:tcPr>
          <w:p w:rsidR="00737FE6" w:rsidRDefault="00737FE6" w:rsidP="00737FE6">
            <w:pPr>
              <w:pStyle w:val="Table-Singlerowsentries"/>
              <w:jc w:val="center"/>
              <w:rPr>
                <w:b/>
                <w:i/>
              </w:rPr>
            </w:pPr>
            <w:r>
              <w:rPr>
                <w:b/>
                <w:i/>
              </w:rPr>
              <w:t>p</w:t>
            </w:r>
          </w:p>
        </w:tc>
        <w:tc>
          <w:tcPr>
            <w:tcW w:w="373" w:type="dxa"/>
            <w:vAlign w:val="center"/>
          </w:tcPr>
          <w:p w:rsidR="00737FE6" w:rsidRPr="00737FE6" w:rsidRDefault="00737FE6" w:rsidP="00737FE6">
            <w:pPr>
              <w:pStyle w:val="Table-Singlerowsentries"/>
              <w:jc w:val="center"/>
              <w:rPr>
                <w:i/>
              </w:rPr>
            </w:pPr>
            <w:r>
              <w:rPr>
                <w:i/>
              </w:rPr>
              <w:t>=</w:t>
            </w:r>
          </w:p>
        </w:tc>
        <w:tc>
          <w:tcPr>
            <w:tcW w:w="763" w:type="dxa"/>
            <w:vAlign w:val="center"/>
          </w:tcPr>
          <w:p w:rsidR="00737FE6" w:rsidRDefault="00737FE6" w:rsidP="00737FE6">
            <w:pPr>
              <w:pStyle w:val="Table-Singlerowsentries"/>
              <w:jc w:val="center"/>
              <w:rPr>
                <w:i/>
              </w:rPr>
            </w:pPr>
            <w:r>
              <w:rPr>
                <w:i/>
              </w:rPr>
              <w:t>Person</w:t>
            </w:r>
          </w:p>
        </w:tc>
        <w:tc>
          <w:tcPr>
            <w:tcW w:w="1417" w:type="dxa"/>
            <w:vAlign w:val="center"/>
          </w:tcPr>
          <w:p w:rsidR="00737FE6" w:rsidRPr="00737FE6" w:rsidRDefault="00737FE6" w:rsidP="00737FE6">
            <w:pPr>
              <w:pStyle w:val="Table-Singlerowsentries"/>
              <w:jc w:val="center"/>
              <w:rPr>
                <w:i/>
              </w:rPr>
            </w:pPr>
          </w:p>
        </w:tc>
        <w:tc>
          <w:tcPr>
            <w:tcW w:w="737" w:type="dxa"/>
            <w:vAlign w:val="center"/>
          </w:tcPr>
          <w:p w:rsidR="00737FE6" w:rsidRDefault="00737FE6" w:rsidP="00737FE6">
            <w:pPr>
              <w:pStyle w:val="Table-Singlerowsentries"/>
              <w:jc w:val="center"/>
              <w:rPr>
                <w:b/>
                <w:i/>
              </w:rPr>
            </w:pPr>
          </w:p>
        </w:tc>
        <w:tc>
          <w:tcPr>
            <w:tcW w:w="373" w:type="dxa"/>
            <w:vAlign w:val="center"/>
          </w:tcPr>
          <w:p w:rsidR="00737FE6" w:rsidRDefault="00737FE6" w:rsidP="00737FE6">
            <w:pPr>
              <w:pStyle w:val="Table-Singlerowsentries"/>
              <w:jc w:val="center"/>
              <w:rPr>
                <w:i/>
              </w:rPr>
            </w:pPr>
          </w:p>
        </w:tc>
        <w:tc>
          <w:tcPr>
            <w:tcW w:w="878" w:type="dxa"/>
            <w:vAlign w:val="center"/>
          </w:tcPr>
          <w:p w:rsidR="00737FE6" w:rsidRDefault="00737FE6" w:rsidP="00737FE6">
            <w:pPr>
              <w:pStyle w:val="Table-Singlerowsentries"/>
              <w:jc w:val="center"/>
              <w:rPr>
                <w:i/>
              </w:rPr>
            </w:pPr>
          </w:p>
        </w:tc>
        <w:tc>
          <w:tcPr>
            <w:tcW w:w="1417" w:type="dxa"/>
            <w:vAlign w:val="center"/>
          </w:tcPr>
          <w:p w:rsidR="00737FE6" w:rsidRPr="00737FE6" w:rsidRDefault="00737FE6" w:rsidP="00737FE6">
            <w:pPr>
              <w:pStyle w:val="Table-Singlerowsentries"/>
              <w:jc w:val="center"/>
              <w:rPr>
                <w:i/>
              </w:rPr>
            </w:pPr>
          </w:p>
        </w:tc>
        <w:tc>
          <w:tcPr>
            <w:tcW w:w="755" w:type="dxa"/>
            <w:vAlign w:val="center"/>
          </w:tcPr>
          <w:p w:rsidR="00737FE6" w:rsidRDefault="00737FE6" w:rsidP="00737FE6">
            <w:pPr>
              <w:pStyle w:val="Table-Singlerowsentries"/>
              <w:jc w:val="center"/>
              <w:rPr>
                <w:i/>
              </w:rPr>
            </w:pPr>
          </w:p>
        </w:tc>
        <w:tc>
          <w:tcPr>
            <w:tcW w:w="375" w:type="dxa"/>
            <w:vAlign w:val="center"/>
          </w:tcPr>
          <w:p w:rsidR="00737FE6" w:rsidRDefault="00737FE6" w:rsidP="00737FE6">
            <w:pPr>
              <w:pStyle w:val="Table-Singlerowsentries"/>
              <w:jc w:val="center"/>
              <w:rPr>
                <w:i/>
              </w:rPr>
            </w:pPr>
          </w:p>
        </w:tc>
        <w:tc>
          <w:tcPr>
            <w:tcW w:w="879" w:type="dxa"/>
            <w:vAlign w:val="center"/>
          </w:tcPr>
          <w:p w:rsidR="00737FE6" w:rsidRDefault="00737FE6" w:rsidP="00737FE6">
            <w:pPr>
              <w:pStyle w:val="Table-Singlerowsentries"/>
              <w:jc w:val="center"/>
              <w:rPr>
                <w:i/>
              </w:rPr>
            </w:pPr>
          </w:p>
        </w:tc>
        <w:tc>
          <w:tcPr>
            <w:tcW w:w="527" w:type="dxa"/>
            <w:vAlign w:val="center"/>
          </w:tcPr>
          <w:p w:rsidR="00737FE6" w:rsidRPr="00737FE6" w:rsidRDefault="00737FE6" w:rsidP="00737FE6">
            <w:pPr>
              <w:pStyle w:val="Table-Singlerowsentries"/>
              <w:jc w:val="center"/>
              <w:rPr>
                <w:i/>
              </w:rPr>
            </w:pPr>
          </w:p>
        </w:tc>
      </w:tr>
    </w:tbl>
    <w:p w:rsidR="00737FE6" w:rsidRDefault="00737FE6" w:rsidP="00E1550C">
      <w:pPr>
        <w:pStyle w:val="Table-PlainText"/>
        <w:rPr>
          <w:b/>
        </w:rPr>
      </w:pPr>
    </w:p>
    <w:p w:rsidR="004D308D" w:rsidRDefault="004D308D" w:rsidP="004D308D">
      <w:pPr>
        <w:pStyle w:val="Para2"/>
      </w:pPr>
      <w:r w:rsidRPr="00D404FA">
        <w:t xml:space="preserve">Friction coefficients for </w:t>
      </w:r>
      <w:proofErr w:type="spellStart"/>
      <w:r w:rsidRPr="00D404FA">
        <w:t>uPVC</w:t>
      </w:r>
      <w:proofErr w:type="spellEnd"/>
      <w:r w:rsidRPr="00D404FA">
        <w:t xml:space="preserve"> and HDPE shall not be less than:</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425"/>
        <w:gridCol w:w="2268"/>
        <w:gridCol w:w="5663"/>
      </w:tblGrid>
      <w:tr w:rsidR="00EE51E9" w:rsidRPr="00E1550C" w:rsidTr="00703261">
        <w:tc>
          <w:tcPr>
            <w:tcW w:w="851" w:type="dxa"/>
          </w:tcPr>
          <w:p w:rsidR="00EE51E9" w:rsidRPr="00E1550C" w:rsidRDefault="00EE51E9" w:rsidP="00E1550C">
            <w:pPr>
              <w:pStyle w:val="Table-PlainText"/>
            </w:pPr>
            <w:r w:rsidRPr="00E1550C">
              <w:t>k</w:t>
            </w:r>
          </w:p>
        </w:tc>
        <w:tc>
          <w:tcPr>
            <w:tcW w:w="425" w:type="dxa"/>
          </w:tcPr>
          <w:p w:rsidR="00EE51E9" w:rsidRPr="00E1550C" w:rsidRDefault="00EE51E9" w:rsidP="00E1550C">
            <w:pPr>
              <w:pStyle w:val="Table-PlainText"/>
            </w:pPr>
            <w:r w:rsidRPr="00E1550C">
              <w:t>=</w:t>
            </w:r>
          </w:p>
        </w:tc>
        <w:tc>
          <w:tcPr>
            <w:tcW w:w="2268" w:type="dxa"/>
          </w:tcPr>
          <w:p w:rsidR="00EE51E9" w:rsidRPr="00E1550C" w:rsidRDefault="00EE51E9" w:rsidP="00E1550C">
            <w:pPr>
              <w:pStyle w:val="Table-PlainText"/>
            </w:pPr>
            <w:r w:rsidRPr="00E1550C">
              <w:t>0,6mm</w:t>
            </w:r>
          </w:p>
        </w:tc>
        <w:tc>
          <w:tcPr>
            <w:tcW w:w="5663" w:type="dxa"/>
          </w:tcPr>
          <w:p w:rsidR="00EE51E9" w:rsidRPr="00E1550C" w:rsidRDefault="00EE51E9" w:rsidP="00E1550C">
            <w:pPr>
              <w:pStyle w:val="Table-PlainText"/>
            </w:pPr>
            <w:r w:rsidRPr="00E1550C">
              <w:t>In Colebrook White equation</w:t>
            </w:r>
          </w:p>
        </w:tc>
      </w:tr>
      <w:tr w:rsidR="00EE51E9" w:rsidRPr="00E1550C" w:rsidTr="00703261">
        <w:tc>
          <w:tcPr>
            <w:tcW w:w="851" w:type="dxa"/>
          </w:tcPr>
          <w:p w:rsidR="00EE51E9" w:rsidRPr="00E1550C" w:rsidRDefault="00EE51E9" w:rsidP="00E1550C">
            <w:pPr>
              <w:pStyle w:val="Table-PlainText"/>
            </w:pPr>
            <w:r w:rsidRPr="00E1550C">
              <w:t>or N</w:t>
            </w:r>
          </w:p>
        </w:tc>
        <w:tc>
          <w:tcPr>
            <w:tcW w:w="425" w:type="dxa"/>
          </w:tcPr>
          <w:p w:rsidR="00EE51E9" w:rsidRPr="00E1550C" w:rsidRDefault="00EE51E9" w:rsidP="00E1550C">
            <w:pPr>
              <w:pStyle w:val="Table-PlainText"/>
            </w:pPr>
            <w:r w:rsidRPr="00E1550C">
              <w:t>=</w:t>
            </w:r>
          </w:p>
        </w:tc>
        <w:tc>
          <w:tcPr>
            <w:tcW w:w="2268" w:type="dxa"/>
          </w:tcPr>
          <w:p w:rsidR="00EE51E9" w:rsidRPr="00E1550C" w:rsidRDefault="00EE51E9" w:rsidP="00E1550C">
            <w:pPr>
              <w:pStyle w:val="Table-PlainText"/>
            </w:pPr>
            <w:r w:rsidRPr="00E1550C">
              <w:t>0.012</w:t>
            </w:r>
          </w:p>
        </w:tc>
        <w:tc>
          <w:tcPr>
            <w:tcW w:w="5663" w:type="dxa"/>
          </w:tcPr>
          <w:p w:rsidR="00EE51E9" w:rsidRPr="00E1550C" w:rsidRDefault="00EE51E9" w:rsidP="00E1550C">
            <w:pPr>
              <w:pStyle w:val="Table-PlainText"/>
            </w:pPr>
            <w:r w:rsidRPr="00E1550C">
              <w:t>In Manning equation</w:t>
            </w:r>
          </w:p>
        </w:tc>
      </w:tr>
    </w:tbl>
    <w:p w:rsidR="004D308D" w:rsidRDefault="004D308D" w:rsidP="004D308D">
      <w:pPr>
        <w:pStyle w:val="Para2"/>
      </w:pPr>
      <w:r>
        <w:t xml:space="preserve">The consultant will apply appropriate peak factors to the average sewage flows which shall not be less than </w:t>
      </w:r>
      <w:r w:rsidR="00221811">
        <w:t>five (</w:t>
      </w:r>
      <w:r>
        <w:t>5</w:t>
      </w:r>
      <w:r w:rsidR="00221811">
        <w:t>)</w:t>
      </w:r>
      <w:r>
        <w:t xml:space="preserve"> for a single house, not less than </w:t>
      </w:r>
      <w:r w:rsidR="00141487">
        <w:t xml:space="preserve">ten </w:t>
      </w:r>
      <w:r w:rsidR="00B83E05">
        <w:t>(</w:t>
      </w:r>
      <w:r>
        <w:t>10</w:t>
      </w:r>
      <w:r w:rsidR="00B83E05">
        <w:t>)</w:t>
      </w:r>
      <w:r>
        <w:t xml:space="preserve"> for a single building with many water fittings and not less than 2.5 for the combined sewage flow from a large Departmental establishment.</w:t>
      </w:r>
    </w:p>
    <w:p w:rsidR="004D308D" w:rsidRDefault="004D308D" w:rsidP="00900568">
      <w:pPr>
        <w:pStyle w:val="ListNumber"/>
      </w:pPr>
      <w:bookmarkStart w:id="12" w:name="SectionF8_GuidelinesForDesignConstructio"/>
      <w:bookmarkStart w:id="13" w:name="_Toc298140516"/>
      <w:r>
        <w:t>GUIDELINES FOR DESIGN AND CONSTRUCTION OF PUMP STATIONS</w:t>
      </w:r>
      <w:bookmarkEnd w:id="12"/>
      <w:bookmarkEnd w:id="13"/>
    </w:p>
    <w:p w:rsidR="004D308D" w:rsidRDefault="004D308D" w:rsidP="00900568">
      <w:pPr>
        <w:pStyle w:val="ListNumber2"/>
      </w:pPr>
      <w:r>
        <w:t>Introduction</w:t>
      </w:r>
    </w:p>
    <w:p w:rsidR="004D308D" w:rsidRDefault="004D308D" w:rsidP="004D308D">
      <w:pPr>
        <w:pStyle w:val="Para2"/>
      </w:pPr>
      <w:r>
        <w:t>Pumping of sewage must under no circumstances lead to contamination of the environment.  It is also illegal to allow any sewage to enter into the storm</w:t>
      </w:r>
      <w:r w:rsidR="005E27A5">
        <w:t xml:space="preserve"> </w:t>
      </w:r>
      <w:r>
        <w:t>water system or into the watercourses.  It is therefore vitally important to avoid the inclusion of any pump station in a sewer system as far as possible.</w:t>
      </w:r>
    </w:p>
    <w:p w:rsidR="00C1787E" w:rsidRDefault="00C1787E" w:rsidP="00900568">
      <w:pPr>
        <w:pStyle w:val="ListNumber2"/>
        <w:sectPr w:rsidR="00C1787E" w:rsidSect="00DD2A5E">
          <w:pgSz w:w="11906" w:h="16838" w:code="9"/>
          <w:pgMar w:top="1134" w:right="964" w:bottom="964" w:left="1134" w:header="794" w:footer="510" w:gutter="0"/>
          <w:cols w:space="708"/>
          <w:docGrid w:linePitch="360"/>
        </w:sectPr>
      </w:pPr>
    </w:p>
    <w:p w:rsidR="004D308D" w:rsidRDefault="004D308D" w:rsidP="00900568">
      <w:pPr>
        <w:pStyle w:val="ListNumber2"/>
      </w:pPr>
      <w:r>
        <w:lastRenderedPageBreak/>
        <w:t>Location</w:t>
      </w:r>
    </w:p>
    <w:p w:rsidR="004D308D" w:rsidRDefault="004D308D" w:rsidP="004D308D">
      <w:pPr>
        <w:pStyle w:val="Para2"/>
      </w:pPr>
      <w:r>
        <w:t>Should the provision of a pump station be unavoidable, the following aspects must be addressed when deciding on the location:</w:t>
      </w:r>
    </w:p>
    <w:p w:rsidR="004D308D" w:rsidRDefault="004D308D" w:rsidP="00900568">
      <w:pPr>
        <w:pStyle w:val="Bullets1-Paragraph"/>
      </w:pPr>
      <w:r>
        <w:t>The inconvenience must be minimised</w:t>
      </w:r>
    </w:p>
    <w:p w:rsidR="004D308D" w:rsidRDefault="004D308D" w:rsidP="00900568">
      <w:pPr>
        <w:pStyle w:val="Bullets1-Paragraph"/>
      </w:pPr>
      <w:r>
        <w:t>Should something go wrong, the impact must be minimised</w:t>
      </w:r>
    </w:p>
    <w:p w:rsidR="004D308D" w:rsidRDefault="004D308D" w:rsidP="00900568">
      <w:pPr>
        <w:pStyle w:val="Bullets1-Paragraph"/>
      </w:pPr>
      <w:r>
        <w:t>It must be accessible by road</w:t>
      </w:r>
    </w:p>
    <w:p w:rsidR="004D308D" w:rsidRDefault="004D308D" w:rsidP="00900568">
      <w:pPr>
        <w:pStyle w:val="Bullets1-Paragraph"/>
      </w:pPr>
      <w:r>
        <w:t>It must have a water connection</w:t>
      </w:r>
    </w:p>
    <w:p w:rsidR="004D308D" w:rsidRDefault="004D308D" w:rsidP="00900568">
      <w:pPr>
        <w:pStyle w:val="Bullets1-Paragraph"/>
      </w:pPr>
      <w:r>
        <w:t>It must have an electricity connection</w:t>
      </w:r>
    </w:p>
    <w:p w:rsidR="004D308D" w:rsidRDefault="004D308D" w:rsidP="00900568">
      <w:pPr>
        <w:pStyle w:val="Bullets1-Paragraph"/>
      </w:pPr>
      <w:r>
        <w:t>It must be above the 1:50 year flood line</w:t>
      </w:r>
    </w:p>
    <w:p w:rsidR="004D308D" w:rsidRDefault="004D308D" w:rsidP="00900568">
      <w:pPr>
        <w:pStyle w:val="Bullets1-Paragraph"/>
      </w:pPr>
      <w:r>
        <w:t>The impact on the environment must be minimised.</w:t>
      </w:r>
    </w:p>
    <w:p w:rsidR="004D308D" w:rsidRDefault="004D308D" w:rsidP="00900568">
      <w:pPr>
        <w:pStyle w:val="ListNumber2"/>
      </w:pPr>
      <w:r>
        <w:t>Pump station requirements</w:t>
      </w:r>
    </w:p>
    <w:p w:rsidR="004D308D" w:rsidRDefault="004D308D" w:rsidP="004D308D">
      <w:pPr>
        <w:pStyle w:val="Para2"/>
      </w:pPr>
      <w:r>
        <w:t>Pump station designs must comply with the following:</w:t>
      </w:r>
    </w:p>
    <w:p w:rsidR="004D308D" w:rsidRDefault="004D308D" w:rsidP="00900568">
      <w:pPr>
        <w:pStyle w:val="Bullets1-Paragraph"/>
      </w:pPr>
      <w:r>
        <w:t>The Occupational Health and Safety Act (Act 85 of 1993)</w:t>
      </w:r>
    </w:p>
    <w:p w:rsidR="004D308D" w:rsidRDefault="004D308D" w:rsidP="00900568">
      <w:pPr>
        <w:pStyle w:val="Bullets1-Paragraph"/>
      </w:pPr>
      <w:r>
        <w:t>The Guidelines For the Provision of Engineering Services and Amenities in Residential Township Development (Red Book) issued by The National Housing Board</w:t>
      </w:r>
    </w:p>
    <w:p w:rsidR="004D308D" w:rsidRDefault="004D308D" w:rsidP="00900568">
      <w:pPr>
        <w:pStyle w:val="Bullets1-Paragraph"/>
      </w:pPr>
      <w:r>
        <w:t>The pump station must be fenced by a concrete palisade fence with a fully galvanised lockable pedestrian gate and a fully galvanised gate for vehicle access</w:t>
      </w:r>
    </w:p>
    <w:p w:rsidR="004D308D" w:rsidRDefault="004D308D" w:rsidP="00900568">
      <w:pPr>
        <w:pStyle w:val="Bullets1-Paragraph"/>
      </w:pPr>
      <w:r>
        <w:t>The area around the pump station must have a 2m wide concrete apron draining into the wet sump</w:t>
      </w:r>
    </w:p>
    <w:p w:rsidR="004D308D" w:rsidRDefault="004D308D" w:rsidP="00900568">
      <w:pPr>
        <w:pStyle w:val="Bullets1-Paragraph"/>
      </w:pPr>
      <w:r>
        <w:t>The pump station and surrounding area must be easily maintained</w:t>
      </w:r>
    </w:p>
    <w:p w:rsidR="004D308D" w:rsidRDefault="004D308D" w:rsidP="00900568">
      <w:pPr>
        <w:pStyle w:val="Bullets1-Paragraph"/>
      </w:pPr>
      <w:r>
        <w:t>A washing slab draining into the wet sump must be provided</w:t>
      </w:r>
    </w:p>
    <w:p w:rsidR="004D308D" w:rsidRDefault="004D308D" w:rsidP="00900568">
      <w:pPr>
        <w:pStyle w:val="Bullets1-Paragraph"/>
      </w:pPr>
      <w:r>
        <w:t>Lifting devices must be provided for lifting the pump onto a truck</w:t>
      </w:r>
    </w:p>
    <w:p w:rsidR="004D308D" w:rsidRDefault="004D308D" w:rsidP="00900568">
      <w:pPr>
        <w:pStyle w:val="Bullets1-Paragraph"/>
      </w:pPr>
      <w:r>
        <w:t>Sufficient working space must be provided</w:t>
      </w:r>
    </w:p>
    <w:p w:rsidR="004D308D" w:rsidRDefault="004D308D" w:rsidP="00900568">
      <w:pPr>
        <w:pStyle w:val="Bullets1-Paragraph"/>
      </w:pPr>
      <w:r>
        <w:t>Well-designed stairs must be provided</w:t>
      </w:r>
    </w:p>
    <w:p w:rsidR="004D308D" w:rsidRDefault="004D308D" w:rsidP="00900568">
      <w:pPr>
        <w:pStyle w:val="Bullets1-Paragraph"/>
      </w:pPr>
      <w:r>
        <w:t>Cat ladders are not preferred</w:t>
      </w:r>
    </w:p>
    <w:p w:rsidR="004D308D" w:rsidRDefault="004D308D" w:rsidP="00900568">
      <w:pPr>
        <w:pStyle w:val="Bullets1-Paragraph"/>
      </w:pPr>
      <w:r>
        <w:t>Dry wells must be equipped with sump pumps</w:t>
      </w:r>
    </w:p>
    <w:p w:rsidR="004D308D" w:rsidRDefault="004D308D" w:rsidP="00900568">
      <w:pPr>
        <w:pStyle w:val="Bullets1-Paragraph"/>
      </w:pPr>
      <w:r>
        <w:t>Sufficient storage area must be provided for operational manuals, tools and lubricants</w:t>
      </w:r>
    </w:p>
    <w:p w:rsidR="004D308D" w:rsidRDefault="004D308D" w:rsidP="00900568">
      <w:pPr>
        <w:pStyle w:val="Bullets1-Paragraph"/>
      </w:pPr>
      <w:r>
        <w:t xml:space="preserve">Wet sumps must be sized to allow for </w:t>
      </w:r>
      <w:r w:rsidR="002C146F">
        <w:t>eight (</w:t>
      </w:r>
      <w:r>
        <w:t>8</w:t>
      </w:r>
      <w:r w:rsidR="002C146F">
        <w:t>)</w:t>
      </w:r>
      <w:r>
        <w:t xml:space="preserve"> stop/starts per hour.  For submersible pumps it can be up to 15 stop/starts per hour</w:t>
      </w:r>
    </w:p>
    <w:p w:rsidR="004D308D" w:rsidRDefault="004D308D" w:rsidP="00900568">
      <w:pPr>
        <w:pStyle w:val="Bullets1-Paragraph"/>
      </w:pPr>
      <w:r>
        <w:t>The pump station must be functional, but as elementary as possible</w:t>
      </w:r>
    </w:p>
    <w:p w:rsidR="004D308D" w:rsidRDefault="004D308D" w:rsidP="00900568">
      <w:pPr>
        <w:pStyle w:val="Bullets1-Paragraph"/>
      </w:pPr>
      <w:r>
        <w:t>All sumps must be well ventilated to prevent the building up of dangerous gasses.</w:t>
      </w:r>
    </w:p>
    <w:p w:rsidR="004D308D" w:rsidRDefault="004D308D" w:rsidP="004D308D">
      <w:pPr>
        <w:pStyle w:val="Para2"/>
      </w:pPr>
      <w:r>
        <w:t xml:space="preserve">For ease of maintenance, it is preferable to have self-priming pump installations with the pump situated above ground level.  In the event of smaller pump stations, wet well installations can however be more cost effective.  It is a must to have a </w:t>
      </w:r>
      <w:proofErr w:type="spellStart"/>
      <w:r>
        <w:t>muncher</w:t>
      </w:r>
      <w:proofErr w:type="spellEnd"/>
      <w:r>
        <w:t xml:space="preserve"> installed in the inlet for protection of the pumps.  A screening device to remove large solids in the effluent from entering the pump station will be installed as an alternative.  De-</w:t>
      </w:r>
      <w:proofErr w:type="spellStart"/>
      <w:r>
        <w:t>gritters</w:t>
      </w:r>
      <w:proofErr w:type="spellEnd"/>
      <w:r>
        <w:t xml:space="preserve"> can also be provided to remove grit before it enters the sump.  These devices can be mechanically operated in large pump stations.</w:t>
      </w:r>
    </w:p>
    <w:p w:rsidR="004D308D" w:rsidRDefault="004D308D" w:rsidP="004D308D">
      <w:pPr>
        <w:pStyle w:val="Para2"/>
      </w:pPr>
      <w:r>
        <w:t xml:space="preserve">Lifting facilities shall be provided to raise the </w:t>
      </w:r>
      <w:proofErr w:type="spellStart"/>
      <w:r>
        <w:t>muncher</w:t>
      </w:r>
      <w:proofErr w:type="spellEnd"/>
      <w:r>
        <w:t xml:space="preserve"> out of the inlet for maintenance purposes.</w:t>
      </w:r>
    </w:p>
    <w:p w:rsidR="00C1787E" w:rsidRDefault="00C1787E" w:rsidP="00900568">
      <w:pPr>
        <w:pStyle w:val="ListNumber2"/>
        <w:sectPr w:rsidR="00C1787E" w:rsidSect="00DD2A5E">
          <w:pgSz w:w="11906" w:h="16838" w:code="9"/>
          <w:pgMar w:top="1134" w:right="964" w:bottom="964" w:left="1134" w:header="794" w:footer="510" w:gutter="0"/>
          <w:cols w:space="708"/>
          <w:docGrid w:linePitch="360"/>
        </w:sectPr>
      </w:pPr>
    </w:p>
    <w:p w:rsidR="004D308D" w:rsidRDefault="004D308D" w:rsidP="00900568">
      <w:pPr>
        <w:pStyle w:val="ListNumber2"/>
      </w:pPr>
      <w:bookmarkStart w:id="14" w:name="SectionF8_4_Safeguards"/>
      <w:r>
        <w:lastRenderedPageBreak/>
        <w:t>Safeguards</w:t>
      </w:r>
      <w:bookmarkEnd w:id="14"/>
    </w:p>
    <w:p w:rsidR="004D308D" w:rsidRDefault="004D308D" w:rsidP="004D308D">
      <w:pPr>
        <w:pStyle w:val="Para2"/>
      </w:pPr>
      <w:r>
        <w:t>Preventative measures must be taken to avoid any possibility of spillage.  Such preventative measures must include one or more of the following:</w:t>
      </w:r>
    </w:p>
    <w:p w:rsidR="004D308D" w:rsidRDefault="004D308D" w:rsidP="00900568">
      <w:pPr>
        <w:pStyle w:val="Bullets1-Paragraph"/>
      </w:pPr>
      <w:r>
        <w:t>Provision of a standby pump which can be activated automatically should the duty pump become inoperative</w:t>
      </w:r>
    </w:p>
    <w:p w:rsidR="004D308D" w:rsidRDefault="004D308D" w:rsidP="00900568">
      <w:pPr>
        <w:pStyle w:val="Bullets1-Paragraph"/>
      </w:pPr>
      <w:r>
        <w:t>Provision of standby generators to generate electricity during power failures</w:t>
      </w:r>
    </w:p>
    <w:p w:rsidR="004D308D" w:rsidRDefault="004D308D" w:rsidP="00900568">
      <w:pPr>
        <w:pStyle w:val="Bullets1-Paragraph"/>
      </w:pPr>
      <w:r>
        <w:t>Provision of emergency storage capacity for the containment of any sewage spillage</w:t>
      </w:r>
    </w:p>
    <w:p w:rsidR="004D308D" w:rsidRDefault="004D308D" w:rsidP="00900568">
      <w:pPr>
        <w:pStyle w:val="Bullets1-Paragraph"/>
      </w:pPr>
      <w:r>
        <w:t>Overflow of the system</w:t>
      </w:r>
      <w:r w:rsidR="00DE32C6">
        <w:t xml:space="preserve"> shall not be towards any storm </w:t>
      </w:r>
      <w:r>
        <w:t>water drainage system.</w:t>
      </w:r>
    </w:p>
    <w:p w:rsidR="004D308D" w:rsidRDefault="004D308D" w:rsidP="004D308D">
      <w:pPr>
        <w:pStyle w:val="Para2"/>
      </w:pPr>
      <w:r>
        <w:t xml:space="preserve">It is a requirement to have all pump stations equipped with at least </w:t>
      </w:r>
      <w:r w:rsidR="00877398">
        <w:t>two (</w:t>
      </w:r>
      <w:r>
        <w:t>2</w:t>
      </w:r>
      <w:r w:rsidR="00877398">
        <w:t>)</w:t>
      </w:r>
      <w:r>
        <w:t xml:space="preserve"> pumps of which one serves as the duty pump and the other as the standby.</w:t>
      </w:r>
    </w:p>
    <w:p w:rsidR="004D308D" w:rsidRDefault="004D308D" w:rsidP="004D308D">
      <w:pPr>
        <w:pStyle w:val="Para2"/>
      </w:pPr>
      <w:r>
        <w:t>All pump stations shall be wired to a central emergency electrical generating system.</w:t>
      </w:r>
    </w:p>
    <w:p w:rsidR="004D308D" w:rsidRDefault="004D308D" w:rsidP="00900568">
      <w:pPr>
        <w:pStyle w:val="ListNumber2"/>
      </w:pPr>
      <w:r>
        <w:t>Pumps</w:t>
      </w:r>
    </w:p>
    <w:p w:rsidR="004D308D" w:rsidRDefault="004D308D" w:rsidP="004D308D">
      <w:pPr>
        <w:pStyle w:val="Para2"/>
      </w:pPr>
      <w:r>
        <w:t>When selecting pumps the following aspects must be taken into account:</w:t>
      </w:r>
    </w:p>
    <w:p w:rsidR="004D308D" w:rsidRDefault="004D308D" w:rsidP="00900568">
      <w:pPr>
        <w:pStyle w:val="Bullets1-Paragraph"/>
      </w:pPr>
      <w:r>
        <w:t xml:space="preserve">A </w:t>
      </w:r>
      <w:proofErr w:type="spellStart"/>
      <w:r>
        <w:t>muncher</w:t>
      </w:r>
      <w:proofErr w:type="spellEnd"/>
      <w:r>
        <w:t xml:space="preserve"> must be installed in front of the pump in all instances</w:t>
      </w:r>
    </w:p>
    <w:p w:rsidR="004D308D" w:rsidRDefault="004D308D" w:rsidP="00900568">
      <w:pPr>
        <w:pStyle w:val="Bullets1-Paragraph"/>
      </w:pPr>
      <w:r>
        <w:t>The pump must be able of doing the required duty at a rotational speed not exceeding 1,500 RPM</w:t>
      </w:r>
    </w:p>
    <w:p w:rsidR="004D308D" w:rsidRDefault="004D308D" w:rsidP="00900568">
      <w:pPr>
        <w:pStyle w:val="Bullets1-Paragraph"/>
      </w:pPr>
      <w:r>
        <w:t>The suction inlet must be at least 100mm diameter</w:t>
      </w:r>
    </w:p>
    <w:p w:rsidR="004D308D" w:rsidRDefault="004D308D" w:rsidP="00900568">
      <w:pPr>
        <w:pStyle w:val="Bullets1-Paragraph"/>
      </w:pPr>
      <w:r>
        <w:t>The impellers must be of a non-clog type and must be able to handle solids of up to 75mm in diameter</w:t>
      </w:r>
    </w:p>
    <w:p w:rsidR="004D308D" w:rsidRDefault="004D308D" w:rsidP="00900568">
      <w:pPr>
        <w:pStyle w:val="Bullets1-Paragraph"/>
      </w:pPr>
      <w:r>
        <w:t>To prevent excessive wear on the impellers, volutes, liners, wear rings, etc., these items must be protected with an approved abrasive resistant coating</w:t>
      </w:r>
    </w:p>
    <w:p w:rsidR="004D308D" w:rsidRDefault="004D308D" w:rsidP="00900568">
      <w:pPr>
        <w:pStyle w:val="Bullets1-Paragraph"/>
      </w:pPr>
      <w:r>
        <w:t>All shaft seals must be double mechanical seals</w:t>
      </w:r>
    </w:p>
    <w:p w:rsidR="004D308D" w:rsidRDefault="004D308D" w:rsidP="00900568">
      <w:pPr>
        <w:pStyle w:val="Bullets1-Paragraph"/>
      </w:pPr>
      <w:r>
        <w:t>The pumps must be selected to ensure that the duty specified falls well into the stable range of the head/quantity characteristic curve of the pump</w:t>
      </w:r>
    </w:p>
    <w:p w:rsidR="004D308D" w:rsidRDefault="004D308D" w:rsidP="00900568">
      <w:pPr>
        <w:pStyle w:val="Bullets1-Paragraph"/>
      </w:pPr>
      <w:r>
        <w:t>The pump shall have a non-overloading power curve</w:t>
      </w:r>
    </w:p>
    <w:p w:rsidR="004D308D" w:rsidRDefault="004D308D" w:rsidP="00900568">
      <w:pPr>
        <w:pStyle w:val="Bullets1-Paragraph"/>
      </w:pPr>
      <w:r>
        <w:t>Only electrical powered pumps may be installed</w:t>
      </w:r>
    </w:p>
    <w:p w:rsidR="004D308D" w:rsidRDefault="004D308D" w:rsidP="00900568">
      <w:pPr>
        <w:pStyle w:val="Bullets1-Paragraph"/>
      </w:pPr>
      <w:r>
        <w:t>The electrical motors must be rated for continuous operation at an output of 10% in excess of the maximum power requirements of the pump when operating at the maximum duty</w:t>
      </w:r>
    </w:p>
    <w:p w:rsidR="004D308D" w:rsidRDefault="004D308D" w:rsidP="00900568">
      <w:pPr>
        <w:pStyle w:val="Bullets1-Paragraph"/>
      </w:pPr>
      <w:r>
        <w:t>All wet wells must be able to be isolated from the incoming flow for a short while</w:t>
      </w:r>
    </w:p>
    <w:p w:rsidR="004D308D" w:rsidRDefault="004D308D" w:rsidP="00900568">
      <w:pPr>
        <w:pStyle w:val="Bullets1-Paragraph"/>
      </w:pPr>
      <w:r>
        <w:t>As a general rule all pumps larger than 5kW must be installed on the surface or in a dry well.</w:t>
      </w:r>
    </w:p>
    <w:p w:rsidR="004D308D" w:rsidRDefault="004D308D" w:rsidP="00900568">
      <w:pPr>
        <w:pStyle w:val="Para2"/>
      </w:pPr>
      <w:r>
        <w:t>For submersible pumps, the following additional measures must be taken:</w:t>
      </w:r>
    </w:p>
    <w:p w:rsidR="004D308D" w:rsidRDefault="004D308D" w:rsidP="00900568">
      <w:pPr>
        <w:pStyle w:val="Bullets1-Paragraph"/>
      </w:pPr>
      <w:r>
        <w:t>All slide rails, locating plates, lifting eyes and lifting ropes must be of grade 304 stainless steel</w:t>
      </w:r>
    </w:p>
    <w:p w:rsidR="004D308D" w:rsidRDefault="004D308D" w:rsidP="00900568">
      <w:pPr>
        <w:pStyle w:val="Bullets1-Paragraph"/>
      </w:pPr>
      <w:r>
        <w:t>Each pump must be fitted with a seal monitoring sensor</w:t>
      </w:r>
    </w:p>
    <w:p w:rsidR="004D308D" w:rsidRDefault="004D308D" w:rsidP="00900568">
      <w:pPr>
        <w:pStyle w:val="Bullets1-Paragraph"/>
      </w:pPr>
      <w:r>
        <w:t>Each pump must be fitted with a temperature sensor in the motor stator.</w:t>
      </w:r>
    </w:p>
    <w:p w:rsidR="004D308D" w:rsidRDefault="004D308D" w:rsidP="004D308D">
      <w:pPr>
        <w:pStyle w:val="Para2"/>
      </w:pPr>
      <w:r>
        <w:t>Each pump station must have at least two pumps but at the same time, care must be taken not to provide excessive standby capacity.</w:t>
      </w:r>
    </w:p>
    <w:p w:rsidR="004D308D" w:rsidRDefault="004D308D" w:rsidP="004D308D">
      <w:pPr>
        <w:pStyle w:val="Para2"/>
      </w:pPr>
      <w:r>
        <w:t xml:space="preserve">Where two pumps are installed, the pumps must be sized as such that the ratio between the pump capacity (both pumps running), and the peak dry weather flow is 2:1.  Where </w:t>
      </w:r>
      <w:r w:rsidR="00877398">
        <w:t>three (</w:t>
      </w:r>
      <w:r>
        <w:t>3</w:t>
      </w:r>
      <w:r w:rsidR="00877398">
        <w:t>)</w:t>
      </w:r>
      <w:r>
        <w:t xml:space="preserve"> pumps</w:t>
      </w:r>
      <w:r w:rsidR="00877398">
        <w:t xml:space="preserve"> </w:t>
      </w:r>
      <w:r>
        <w:t>are installed the pumps should be sized as such that the ratio between the pump capacity (with 2 pumps running), and the peak dry weather flow is 1,5:1.</w:t>
      </w:r>
    </w:p>
    <w:p w:rsidR="004D308D" w:rsidRDefault="004D308D" w:rsidP="004D308D">
      <w:pPr>
        <w:pStyle w:val="Para2"/>
      </w:pPr>
      <w:r>
        <w:lastRenderedPageBreak/>
        <w:t>All standby pumps must be used in the normal operation of the pump station.</w:t>
      </w:r>
    </w:p>
    <w:p w:rsidR="004D308D" w:rsidRDefault="004D308D" w:rsidP="00900568">
      <w:pPr>
        <w:pStyle w:val="ListNumber2"/>
      </w:pPr>
      <w:r>
        <w:t>Pipe work</w:t>
      </w:r>
    </w:p>
    <w:p w:rsidR="004D308D" w:rsidRDefault="004D308D" w:rsidP="004D308D">
      <w:pPr>
        <w:pStyle w:val="Para2"/>
      </w:pPr>
      <w:r>
        <w:t>When designing the pipe work, the following must be addressed:</w:t>
      </w:r>
    </w:p>
    <w:p w:rsidR="004D308D" w:rsidRDefault="004D308D" w:rsidP="00900568">
      <w:pPr>
        <w:pStyle w:val="Bullets1-Paragraph"/>
      </w:pPr>
      <w:r>
        <w:t>Pipe work must be properly designed and detailed</w:t>
      </w:r>
    </w:p>
    <w:p w:rsidR="004D308D" w:rsidRDefault="004D308D" w:rsidP="00900568">
      <w:pPr>
        <w:pStyle w:val="Bullets1-Paragraph"/>
      </w:pPr>
      <w:r>
        <w:t>Only gate valves must be used</w:t>
      </w:r>
    </w:p>
    <w:p w:rsidR="004D308D" w:rsidRDefault="004D308D" w:rsidP="00900568">
      <w:pPr>
        <w:pStyle w:val="Bullets1-Paragraph"/>
      </w:pPr>
      <w:r>
        <w:t>Only swing check valves must be used</w:t>
      </w:r>
    </w:p>
    <w:p w:rsidR="004D308D" w:rsidRDefault="004D308D" w:rsidP="00900568">
      <w:pPr>
        <w:pStyle w:val="Bullets1-Paragraph"/>
      </w:pPr>
      <w:r>
        <w:t>Vortex formation at suction pipes must be prevented</w:t>
      </w:r>
    </w:p>
    <w:p w:rsidR="004D308D" w:rsidRDefault="004D308D" w:rsidP="00900568">
      <w:pPr>
        <w:pStyle w:val="Bullets1-Paragraph"/>
      </w:pPr>
      <w:r>
        <w:t>Air must not be trapped in the suction pipe</w:t>
      </w:r>
    </w:p>
    <w:p w:rsidR="004D308D" w:rsidRDefault="004D308D" w:rsidP="00900568">
      <w:pPr>
        <w:pStyle w:val="Bullets1-Paragraph"/>
      </w:pPr>
      <w:r>
        <w:t>Every suction pipe must be equipped with an isolating valve</w:t>
      </w:r>
    </w:p>
    <w:p w:rsidR="004D308D" w:rsidRDefault="004D308D" w:rsidP="00900568">
      <w:pPr>
        <w:pStyle w:val="Bullets1-Paragraph"/>
      </w:pPr>
      <w:r>
        <w:t>A flexible coupling must be provided between the valve on the suction pipe and the pump</w:t>
      </w:r>
    </w:p>
    <w:p w:rsidR="004D308D" w:rsidRDefault="004D308D" w:rsidP="00900568">
      <w:pPr>
        <w:pStyle w:val="Bullets1-Paragraph"/>
      </w:pPr>
      <w:r>
        <w:t>The maximum flow velocity in the suction pipes must not exceed 1,5m/s (check NPSH)</w:t>
      </w:r>
    </w:p>
    <w:p w:rsidR="004D308D" w:rsidRDefault="004D308D" w:rsidP="00900568">
      <w:pPr>
        <w:pStyle w:val="Bullets1-Paragraph"/>
      </w:pPr>
      <w:r>
        <w:t>On the delivery side a check valve must be provided followed by a gate valve</w:t>
      </w:r>
    </w:p>
    <w:p w:rsidR="004D308D" w:rsidRDefault="004D308D" w:rsidP="00900568">
      <w:pPr>
        <w:pStyle w:val="Bullets1-Paragraph"/>
      </w:pPr>
      <w:r>
        <w:t>A flexible coupling must be provided between the pump and the check valve</w:t>
      </w:r>
    </w:p>
    <w:p w:rsidR="004D308D" w:rsidRDefault="004D308D" w:rsidP="00900568">
      <w:pPr>
        <w:pStyle w:val="Bullets1-Paragraph"/>
      </w:pPr>
      <w:r>
        <w:t>The pipe work must be properly supported to prevent the pipe work from resting on the pump</w:t>
      </w:r>
    </w:p>
    <w:p w:rsidR="004D308D" w:rsidRDefault="004D308D" w:rsidP="00900568">
      <w:pPr>
        <w:pStyle w:val="Bullets1-Paragraph"/>
      </w:pPr>
      <w:r>
        <w:t>The maximum flow velocity in the delivery pipes must not exceed 3,0m/s</w:t>
      </w:r>
    </w:p>
    <w:p w:rsidR="004D308D" w:rsidRDefault="004D308D" w:rsidP="00900568">
      <w:pPr>
        <w:pStyle w:val="Bullets1-Paragraph"/>
      </w:pPr>
      <w:r>
        <w:t>The layout of the pipe work must be such that the pump can be removed without dissembling the pipe work</w:t>
      </w:r>
    </w:p>
    <w:p w:rsidR="004D308D" w:rsidRDefault="004D308D" w:rsidP="00900568">
      <w:pPr>
        <w:pStyle w:val="Bullets1-Paragraph"/>
      </w:pPr>
      <w:r>
        <w:t>It must be possible to remove any pump without affecting any other pump</w:t>
      </w:r>
    </w:p>
    <w:p w:rsidR="004D308D" w:rsidRDefault="004D308D" w:rsidP="00900568">
      <w:pPr>
        <w:pStyle w:val="Bullets1-Paragraph"/>
      </w:pPr>
      <w:r>
        <w:t>For submersible pumps the valves and check valves must be installed in a separate box outside the wet sump and access from the natural ground must be easy</w:t>
      </w:r>
    </w:p>
    <w:p w:rsidR="004D308D" w:rsidRDefault="004D308D" w:rsidP="00900568">
      <w:pPr>
        <w:pStyle w:val="Bullets1-Paragraph"/>
      </w:pPr>
      <w:r>
        <w:t>All pumps must be fitted with pressure meters on the delivery side.</w:t>
      </w:r>
    </w:p>
    <w:p w:rsidR="004D308D" w:rsidRDefault="004D308D" w:rsidP="00900568">
      <w:pPr>
        <w:pStyle w:val="ListNumber2"/>
      </w:pPr>
      <w:r>
        <w:t>Rising mains</w:t>
      </w:r>
    </w:p>
    <w:p w:rsidR="004D308D" w:rsidRDefault="004D308D" w:rsidP="004D308D">
      <w:pPr>
        <w:pStyle w:val="Para2"/>
      </w:pPr>
      <w:r>
        <w:t>Rising mains must be designed to take care of the following:</w:t>
      </w:r>
    </w:p>
    <w:p w:rsidR="004D308D" w:rsidRDefault="004D308D" w:rsidP="00900568">
      <w:pPr>
        <w:pStyle w:val="Bullets1-Paragraph"/>
      </w:pPr>
      <w:r>
        <w:t>Rising mains must be of such a diameter that solids deposited while the pumps are stopped will be scoured out when the pumps are working.  A velocity of 0,9m/s to 1,2m/s is commonly considered to be desirable</w:t>
      </w:r>
    </w:p>
    <w:p w:rsidR="004D308D" w:rsidRDefault="004D308D" w:rsidP="00900568">
      <w:pPr>
        <w:pStyle w:val="Bullets1-Paragraph"/>
      </w:pPr>
      <w:r>
        <w:t>The minimum internal diameter is 75mm</w:t>
      </w:r>
    </w:p>
    <w:p w:rsidR="004D308D" w:rsidRDefault="004D308D" w:rsidP="00900568">
      <w:pPr>
        <w:pStyle w:val="Bullets1-Paragraph"/>
      </w:pPr>
      <w:r>
        <w:t>Where possible the rising main must have a positive grade with no low points or high points</w:t>
      </w:r>
    </w:p>
    <w:p w:rsidR="004D308D" w:rsidRDefault="004D308D" w:rsidP="00900568">
      <w:pPr>
        <w:pStyle w:val="Bullets1-Paragraph"/>
      </w:pPr>
      <w:r>
        <w:t>Scour valves and air valves must be avoided at all cost</w:t>
      </w:r>
    </w:p>
    <w:p w:rsidR="004D308D" w:rsidRDefault="004D308D" w:rsidP="00900568">
      <w:pPr>
        <w:pStyle w:val="Bullets1-Paragraph"/>
      </w:pPr>
      <w:r>
        <w:t>The rising main must be analysed for water hammer</w:t>
      </w:r>
    </w:p>
    <w:p w:rsidR="004D308D" w:rsidRDefault="004D308D" w:rsidP="00900568">
      <w:pPr>
        <w:pStyle w:val="Bullets1-Paragraph"/>
      </w:pPr>
      <w:r>
        <w:t>Turbulence must be avoided to prevent the release of H</w:t>
      </w:r>
      <w:r w:rsidRPr="00877398">
        <w:rPr>
          <w:vertAlign w:val="subscript"/>
        </w:rPr>
        <w:t>2</w:t>
      </w:r>
      <w:r>
        <w:t>S at the outlet:</w:t>
      </w:r>
    </w:p>
    <w:p w:rsidR="004D308D" w:rsidRDefault="004D308D" w:rsidP="00900568">
      <w:pPr>
        <w:pStyle w:val="Bullets1-Paragraph"/>
      </w:pPr>
      <w:r>
        <w:t>Unbalanced thrust must be balanced.</w:t>
      </w:r>
    </w:p>
    <w:p w:rsidR="004D308D" w:rsidRDefault="004D308D" w:rsidP="00900568">
      <w:pPr>
        <w:pStyle w:val="ListNumber2"/>
      </w:pPr>
      <w:r>
        <w:t>Electrical installation</w:t>
      </w:r>
    </w:p>
    <w:p w:rsidR="004D308D" w:rsidRDefault="004D308D" w:rsidP="004D308D">
      <w:pPr>
        <w:pStyle w:val="Para2"/>
      </w:pPr>
      <w:r>
        <w:t>Switchgear must always be installed above ground level.  Where superstructures are provided, the switchgear must be installed inside the superstructure.  For submersible pump stations, a weatherproof panel manufactured of vandal proof corrosion resistant material must be provided at least 2m from the pump station.</w:t>
      </w:r>
    </w:p>
    <w:p w:rsidR="00E0343F" w:rsidRDefault="00E0343F" w:rsidP="004D308D">
      <w:pPr>
        <w:pStyle w:val="Para2"/>
      </w:pPr>
      <w:r>
        <w:br w:type="page"/>
      </w:r>
    </w:p>
    <w:p w:rsidR="004D308D" w:rsidRDefault="004D308D" w:rsidP="004D308D">
      <w:pPr>
        <w:pStyle w:val="Para2"/>
      </w:pPr>
      <w:r>
        <w:lastRenderedPageBreak/>
        <w:t>Panels consist of at least the following functions:</w:t>
      </w:r>
    </w:p>
    <w:p w:rsidR="004D308D" w:rsidRDefault="004D308D" w:rsidP="00900568">
      <w:pPr>
        <w:pStyle w:val="Bullets1-Paragraph"/>
      </w:pPr>
      <w:r>
        <w:t xml:space="preserve">It must comply with SANS 10142 </w:t>
      </w:r>
    </w:p>
    <w:p w:rsidR="004D308D" w:rsidRDefault="004D308D" w:rsidP="00900568">
      <w:pPr>
        <w:pStyle w:val="Bullets1-Paragraph"/>
      </w:pPr>
      <w:r>
        <w:t>It must have a padlock lockout system</w:t>
      </w:r>
    </w:p>
    <w:p w:rsidR="004D308D" w:rsidRDefault="004D308D" w:rsidP="00900568">
      <w:pPr>
        <w:pStyle w:val="Bullets1-Paragraph"/>
      </w:pPr>
      <w:r>
        <w:t>All equipment must be numbered and labelled according to the panel drawings</w:t>
      </w:r>
    </w:p>
    <w:p w:rsidR="004D308D" w:rsidRDefault="004D308D" w:rsidP="00900568">
      <w:pPr>
        <w:pStyle w:val="Bullets1-Paragraph"/>
      </w:pPr>
      <w:r>
        <w:t>Rotation of the duty and standby pumps</w:t>
      </w:r>
    </w:p>
    <w:p w:rsidR="004D308D" w:rsidRDefault="004D308D" w:rsidP="00900568">
      <w:pPr>
        <w:pStyle w:val="Bullets1-Paragraph"/>
      </w:pPr>
      <w:r>
        <w:t>An Ampere-meter for every pump</w:t>
      </w:r>
    </w:p>
    <w:p w:rsidR="004D308D" w:rsidRDefault="004D308D" w:rsidP="00900568">
      <w:pPr>
        <w:pStyle w:val="Bullets1-Paragraph"/>
      </w:pPr>
      <w:r>
        <w:t>A Voltmeter</w:t>
      </w:r>
    </w:p>
    <w:p w:rsidR="004D308D" w:rsidRDefault="004D308D" w:rsidP="00900568">
      <w:pPr>
        <w:pStyle w:val="Bullets1-Paragraph"/>
      </w:pPr>
      <w:r>
        <w:t>An hour-meter for every pump</w:t>
      </w:r>
    </w:p>
    <w:p w:rsidR="004D308D" w:rsidRDefault="004D308D" w:rsidP="00900568">
      <w:pPr>
        <w:pStyle w:val="Bullets1-Paragraph"/>
      </w:pPr>
      <w:r>
        <w:t>A kW-hour meter for the pump station</w:t>
      </w:r>
    </w:p>
    <w:p w:rsidR="004D308D" w:rsidRDefault="004D308D" w:rsidP="00900568">
      <w:pPr>
        <w:pStyle w:val="Bullets1-Paragraph"/>
      </w:pPr>
      <w:r>
        <w:t>A weather proof 25A, 230V single phase welding socket</w:t>
      </w:r>
    </w:p>
    <w:p w:rsidR="004D308D" w:rsidRDefault="004D308D" w:rsidP="00900568">
      <w:pPr>
        <w:pStyle w:val="Bullets1-Paragraph"/>
      </w:pPr>
      <w:r>
        <w:t>A weather proof 15A, 230V single phase 3 pin socket outlet</w:t>
      </w:r>
    </w:p>
    <w:p w:rsidR="004D308D" w:rsidRDefault="004D308D" w:rsidP="00900568">
      <w:pPr>
        <w:pStyle w:val="Bullets1-Paragraph"/>
      </w:pPr>
      <w:r>
        <w:t>For each motor indicating lights showing:</w:t>
      </w: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6"/>
        <w:gridCol w:w="567"/>
        <w:gridCol w:w="2693"/>
      </w:tblGrid>
      <w:tr w:rsidR="00EE51E9" w:rsidTr="00F760FF">
        <w:tc>
          <w:tcPr>
            <w:tcW w:w="1276" w:type="dxa"/>
          </w:tcPr>
          <w:p w:rsidR="00EE51E9" w:rsidRDefault="00EE51E9" w:rsidP="00EA68BC">
            <w:pPr>
              <w:pStyle w:val="Bullets1-Paragraph"/>
              <w:numPr>
                <w:ilvl w:val="0"/>
                <w:numId w:val="0"/>
              </w:numPr>
            </w:pPr>
            <w:r>
              <w:t>Running</w:t>
            </w:r>
          </w:p>
        </w:tc>
        <w:tc>
          <w:tcPr>
            <w:tcW w:w="567" w:type="dxa"/>
          </w:tcPr>
          <w:p w:rsidR="00EE51E9" w:rsidRDefault="00EE51E9" w:rsidP="00EA68BC">
            <w:pPr>
              <w:pStyle w:val="Bullets1-Paragraph"/>
              <w:numPr>
                <w:ilvl w:val="0"/>
                <w:numId w:val="0"/>
              </w:numPr>
            </w:pPr>
            <w:r>
              <w:t>=</w:t>
            </w:r>
          </w:p>
        </w:tc>
        <w:tc>
          <w:tcPr>
            <w:tcW w:w="2693" w:type="dxa"/>
          </w:tcPr>
          <w:p w:rsidR="00EE51E9" w:rsidRDefault="00EE51E9" w:rsidP="00EA68BC">
            <w:pPr>
              <w:pStyle w:val="Bullets1-Paragraph"/>
              <w:numPr>
                <w:ilvl w:val="0"/>
                <w:numId w:val="0"/>
              </w:numPr>
            </w:pPr>
            <w:r>
              <w:t>Green</w:t>
            </w:r>
          </w:p>
        </w:tc>
      </w:tr>
      <w:tr w:rsidR="00EE51E9" w:rsidTr="00F760FF">
        <w:tc>
          <w:tcPr>
            <w:tcW w:w="1276" w:type="dxa"/>
          </w:tcPr>
          <w:p w:rsidR="00EE51E9" w:rsidRDefault="00EE51E9" w:rsidP="00EA68BC">
            <w:pPr>
              <w:pStyle w:val="Bullets1-Paragraph"/>
              <w:numPr>
                <w:ilvl w:val="0"/>
                <w:numId w:val="0"/>
              </w:numPr>
            </w:pPr>
            <w:r>
              <w:t>Stop</w:t>
            </w:r>
          </w:p>
        </w:tc>
        <w:tc>
          <w:tcPr>
            <w:tcW w:w="567" w:type="dxa"/>
          </w:tcPr>
          <w:p w:rsidR="00EE51E9" w:rsidRDefault="00EE51E9" w:rsidP="00EA68BC">
            <w:pPr>
              <w:pStyle w:val="Bullets1-Paragraph"/>
              <w:numPr>
                <w:ilvl w:val="0"/>
                <w:numId w:val="0"/>
              </w:numPr>
            </w:pPr>
            <w:r>
              <w:t>=</w:t>
            </w:r>
          </w:p>
        </w:tc>
        <w:tc>
          <w:tcPr>
            <w:tcW w:w="2693" w:type="dxa"/>
          </w:tcPr>
          <w:p w:rsidR="00EE51E9" w:rsidRDefault="00EE51E9" w:rsidP="00EA68BC">
            <w:pPr>
              <w:pStyle w:val="Bullets1-Paragraph"/>
              <w:numPr>
                <w:ilvl w:val="0"/>
                <w:numId w:val="0"/>
              </w:numPr>
            </w:pPr>
            <w:r>
              <w:t>Red</w:t>
            </w:r>
          </w:p>
        </w:tc>
      </w:tr>
      <w:tr w:rsidR="00EE51E9" w:rsidTr="00F760FF">
        <w:tc>
          <w:tcPr>
            <w:tcW w:w="1276" w:type="dxa"/>
          </w:tcPr>
          <w:p w:rsidR="00EE51E9" w:rsidRDefault="00EE51E9" w:rsidP="00EA68BC">
            <w:pPr>
              <w:pStyle w:val="Bullets1-Paragraph"/>
              <w:numPr>
                <w:ilvl w:val="0"/>
                <w:numId w:val="0"/>
              </w:numPr>
            </w:pPr>
            <w:r>
              <w:t>Fault</w:t>
            </w:r>
          </w:p>
        </w:tc>
        <w:tc>
          <w:tcPr>
            <w:tcW w:w="567" w:type="dxa"/>
          </w:tcPr>
          <w:p w:rsidR="00EE51E9" w:rsidRDefault="00EE51E9" w:rsidP="00EA68BC">
            <w:pPr>
              <w:pStyle w:val="Bullets1-Paragraph"/>
              <w:numPr>
                <w:ilvl w:val="0"/>
                <w:numId w:val="0"/>
              </w:numPr>
            </w:pPr>
            <w:r>
              <w:t>=</w:t>
            </w:r>
          </w:p>
        </w:tc>
        <w:tc>
          <w:tcPr>
            <w:tcW w:w="2693" w:type="dxa"/>
          </w:tcPr>
          <w:p w:rsidR="00EE51E9" w:rsidRDefault="00EE51E9" w:rsidP="00EA68BC">
            <w:pPr>
              <w:pStyle w:val="Bullets1-Paragraph"/>
              <w:numPr>
                <w:ilvl w:val="0"/>
                <w:numId w:val="0"/>
              </w:numPr>
            </w:pPr>
            <w:r>
              <w:t>Yellow</w:t>
            </w:r>
          </w:p>
        </w:tc>
      </w:tr>
    </w:tbl>
    <w:p w:rsidR="004D308D" w:rsidRDefault="004D308D" w:rsidP="004D308D">
      <w:pPr>
        <w:pStyle w:val="Para2"/>
      </w:pPr>
      <w:r>
        <w:t>The pumps are to be controlled by ultrasonic level switches and must control the pumps in such a way that the running time is more or less the same for all pumps on any day.  The first pump must be activated at a given water level and the other pumps are activated one by one should the water level rises more.  In cases where the water level rises extremely high the standby pump must also be activated.  All pumps must be switched off at a predetermined low water level.</w:t>
      </w:r>
    </w:p>
    <w:p w:rsidR="004D308D" w:rsidRDefault="004D308D" w:rsidP="004D308D">
      <w:pPr>
        <w:pStyle w:val="Para2"/>
      </w:pPr>
      <w:r>
        <w:t>A telemetric alarm system must be activated when:</w:t>
      </w:r>
    </w:p>
    <w:p w:rsidR="004D308D" w:rsidRDefault="00900568" w:rsidP="00900568">
      <w:pPr>
        <w:pStyle w:val="Bullets1-Paragraph"/>
      </w:pPr>
      <w:r>
        <w:t>A</w:t>
      </w:r>
      <w:r w:rsidR="004D308D">
        <w:t xml:space="preserve"> power failure occur at which the emergency scheme shall automatically take over</w:t>
      </w:r>
    </w:p>
    <w:p w:rsidR="004D308D" w:rsidRDefault="004D308D" w:rsidP="00900568">
      <w:pPr>
        <w:pStyle w:val="Bullets1-Paragraph"/>
      </w:pPr>
      <w:r>
        <w:t>A pump trip</w:t>
      </w:r>
    </w:p>
    <w:p w:rsidR="004D308D" w:rsidRDefault="004D308D" w:rsidP="00900568">
      <w:pPr>
        <w:pStyle w:val="Bullets1-Paragraph"/>
      </w:pPr>
      <w:r>
        <w:t>A pump or pumps do not start</w:t>
      </w:r>
    </w:p>
    <w:p w:rsidR="004D308D" w:rsidRDefault="004D308D" w:rsidP="00900568">
      <w:pPr>
        <w:pStyle w:val="Bullets1-Paragraph"/>
      </w:pPr>
      <w:r>
        <w:t>The sump run empty and the pump or pumps do not shut down.</w:t>
      </w:r>
    </w:p>
    <w:p w:rsidR="004D308D" w:rsidRDefault="004D308D" w:rsidP="004D308D">
      <w:pPr>
        <w:pStyle w:val="Para2"/>
      </w:pPr>
      <w:r>
        <w:t>Sufficient site lighting must be provided as well as lighting for the pump station.  The light fittings shall be waterproof.</w:t>
      </w:r>
    </w:p>
    <w:p w:rsidR="004D308D" w:rsidRDefault="004D308D" w:rsidP="004D308D">
      <w:pPr>
        <w:pStyle w:val="Para2"/>
      </w:pPr>
      <w:r>
        <w:t>A hand winch shall be installed for lifting the motor and the pump off the mounting.</w:t>
      </w:r>
    </w:p>
    <w:p w:rsidR="004D308D" w:rsidRDefault="004D308D" w:rsidP="00900568">
      <w:pPr>
        <w:pStyle w:val="ListNumber2"/>
      </w:pPr>
      <w:r>
        <w:t>General</w:t>
      </w:r>
    </w:p>
    <w:p w:rsidR="004D308D" w:rsidRDefault="004D308D" w:rsidP="004D308D">
      <w:pPr>
        <w:pStyle w:val="Para2"/>
      </w:pPr>
      <w:r>
        <w:t xml:space="preserve">All equipment must have corrosion resistant metal tags attached to it giving the most important technical details.  Three </w:t>
      </w:r>
      <w:r w:rsidR="00E502A0">
        <w:t xml:space="preserve">(3) </w:t>
      </w:r>
      <w:r>
        <w:t>copies of the operating and maintenance manuals must be supplied giving the following information.</w:t>
      </w:r>
    </w:p>
    <w:p w:rsidR="004D308D" w:rsidRDefault="004D308D" w:rsidP="00900568">
      <w:pPr>
        <w:pStyle w:val="Bullets1-Paragraph"/>
      </w:pPr>
      <w:r>
        <w:t>A flow diagram of the pump station showing all the components as well as the working pressures and flow rates</w:t>
      </w:r>
    </w:p>
    <w:p w:rsidR="004D308D" w:rsidRDefault="004D308D" w:rsidP="00900568">
      <w:pPr>
        <w:pStyle w:val="Bullets1-Paragraph"/>
      </w:pPr>
      <w:r>
        <w:t>Operation of the pump station</w:t>
      </w:r>
    </w:p>
    <w:p w:rsidR="004D308D" w:rsidRDefault="004D308D" w:rsidP="00900568">
      <w:pPr>
        <w:pStyle w:val="Bullets1-Paragraph"/>
      </w:pPr>
      <w:r>
        <w:t>Maintenance procedures of the pump station</w:t>
      </w:r>
    </w:p>
    <w:p w:rsidR="004D308D" w:rsidRDefault="004D308D" w:rsidP="00900568">
      <w:pPr>
        <w:pStyle w:val="Bullets1-Paragraph"/>
      </w:pPr>
      <w:r>
        <w:t>Complete list of emergency spares to be kept in store</w:t>
      </w:r>
    </w:p>
    <w:p w:rsidR="004D308D" w:rsidRDefault="004D308D" w:rsidP="00900568">
      <w:pPr>
        <w:pStyle w:val="Bullets1-Paragraph"/>
      </w:pPr>
      <w:r>
        <w:t>A list of spares with specifications, names and addresses of suppliers of all components used in the pump station, pipe work and rising main</w:t>
      </w:r>
    </w:p>
    <w:p w:rsidR="004D308D" w:rsidRDefault="004D308D" w:rsidP="00900568">
      <w:pPr>
        <w:pStyle w:val="Bullets1-Paragraph"/>
      </w:pPr>
      <w:r>
        <w:t xml:space="preserve">A complete set of the </w:t>
      </w:r>
      <w:r>
        <w:rPr>
          <w:rFonts w:hint="eastAsia"/>
        </w:rPr>
        <w:t>“</w:t>
      </w:r>
      <w:r>
        <w:t>as-built</w:t>
      </w:r>
      <w:r>
        <w:rPr>
          <w:rFonts w:hint="eastAsia"/>
        </w:rPr>
        <w:t>”</w:t>
      </w:r>
      <w:r>
        <w:t xml:space="preserve"> drawings</w:t>
      </w:r>
    </w:p>
    <w:p w:rsidR="004D308D" w:rsidRDefault="004D308D" w:rsidP="00900568">
      <w:pPr>
        <w:pStyle w:val="Bullets1-Paragraph"/>
      </w:pPr>
      <w:r>
        <w:t>Electrical panel drawings.</w:t>
      </w:r>
    </w:p>
    <w:p w:rsidR="000F6B21" w:rsidRDefault="000F6B21" w:rsidP="00900568">
      <w:pPr>
        <w:pStyle w:val="ListNumber"/>
        <w:sectPr w:rsidR="000F6B21" w:rsidSect="00DD2A5E">
          <w:pgSz w:w="11906" w:h="16838" w:code="9"/>
          <w:pgMar w:top="1134" w:right="964" w:bottom="964" w:left="1134" w:header="794" w:footer="510" w:gutter="0"/>
          <w:cols w:space="708"/>
          <w:docGrid w:linePitch="360"/>
        </w:sectPr>
      </w:pPr>
    </w:p>
    <w:p w:rsidR="004D308D" w:rsidRDefault="004D308D" w:rsidP="00900568">
      <w:pPr>
        <w:pStyle w:val="ListNumber"/>
      </w:pPr>
      <w:bookmarkStart w:id="15" w:name="_Toc298140517"/>
      <w:r>
        <w:lastRenderedPageBreak/>
        <w:t>STORM</w:t>
      </w:r>
      <w:r w:rsidR="00DE32C6">
        <w:t xml:space="preserve"> </w:t>
      </w:r>
      <w:r>
        <w:t>WATER</w:t>
      </w:r>
      <w:bookmarkEnd w:id="15"/>
    </w:p>
    <w:p w:rsidR="00FC3B2B" w:rsidRDefault="004D308D" w:rsidP="00900568">
      <w:pPr>
        <w:pStyle w:val="ListNumber2"/>
      </w:pPr>
      <w:r>
        <w:t>The requirements for storm</w:t>
      </w:r>
      <w:r w:rsidR="00DE32C6">
        <w:t xml:space="preserve"> </w:t>
      </w:r>
      <w:r>
        <w:t xml:space="preserve">water management are described in the </w:t>
      </w:r>
      <w:r>
        <w:rPr>
          <w:rFonts w:hint="eastAsia"/>
        </w:rPr>
        <w:t>“</w:t>
      </w:r>
      <w:r>
        <w:t>Guidelines for Human Settlement Planning and Design</w:t>
      </w:r>
      <w:r>
        <w:rPr>
          <w:rFonts w:hint="eastAsia"/>
        </w:rPr>
        <w:t>”</w:t>
      </w:r>
      <w:r>
        <w:t>, Chapter 6.  It includes the requirements for the design flood frequencies for minor and major systems for the appropriate land use as well as relevant environmental issues.  Tables 6.1 and 6.2 of the Guidelines, duplicated below, give the design flood recurrence intervals.</w:t>
      </w:r>
    </w:p>
    <w:p w:rsidR="009D4CAE" w:rsidRPr="009D4CAE" w:rsidRDefault="009D4CAE" w:rsidP="009D4CAE">
      <w:pPr>
        <w:pStyle w:val="Para2"/>
      </w:pPr>
    </w:p>
    <w:tbl>
      <w:tblPr>
        <w:tblStyle w:val="TableGrid"/>
        <w:tblW w:w="9072" w:type="dxa"/>
        <w:tblInd w:w="81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992"/>
        <w:gridCol w:w="4820"/>
        <w:gridCol w:w="3260"/>
      </w:tblGrid>
      <w:tr w:rsidR="00D8177D" w:rsidRPr="00000D74" w:rsidTr="00FC3B2B">
        <w:trPr>
          <w:tblHeader/>
        </w:trPr>
        <w:tc>
          <w:tcPr>
            <w:tcW w:w="9072" w:type="dxa"/>
            <w:gridSpan w:val="3"/>
            <w:tcBorders>
              <w:bottom w:val="single" w:sz="12" w:space="0" w:color="000000" w:themeColor="text1"/>
            </w:tcBorders>
            <w:vAlign w:val="center"/>
          </w:tcPr>
          <w:p w:rsidR="00D8177D" w:rsidRPr="00000D74" w:rsidRDefault="00D8177D" w:rsidP="008D14E8">
            <w:pPr>
              <w:pStyle w:val="TableHeading"/>
              <w:rPr>
                <w:lang w:val="en-US"/>
              </w:rPr>
            </w:pPr>
            <w:r>
              <w:rPr>
                <w:lang w:val="en-US"/>
              </w:rPr>
              <w:t>TABLE 6.1:  DESIGN FLOOD FREQU</w:t>
            </w:r>
            <w:r w:rsidR="008D14E8">
              <w:rPr>
                <w:lang w:val="en-US"/>
              </w:rPr>
              <w:t>E</w:t>
            </w:r>
            <w:r>
              <w:rPr>
                <w:lang w:val="en-US"/>
              </w:rPr>
              <w:t>NCIES FOR MAJOR SYSTEMS</w:t>
            </w:r>
          </w:p>
        </w:tc>
      </w:tr>
      <w:tr w:rsidR="00D8177D" w:rsidRPr="00AE6856" w:rsidTr="00FC3B2B">
        <w:tc>
          <w:tcPr>
            <w:tcW w:w="992" w:type="dxa"/>
            <w:tcBorders>
              <w:top w:val="single" w:sz="12" w:space="0" w:color="000000" w:themeColor="text1"/>
              <w:bottom w:val="single" w:sz="12" w:space="0" w:color="000000" w:themeColor="text1"/>
            </w:tcBorders>
            <w:vAlign w:val="center"/>
          </w:tcPr>
          <w:p w:rsidR="00D8177D" w:rsidRPr="00AE6856" w:rsidRDefault="00D8177D" w:rsidP="00D8177D">
            <w:pPr>
              <w:pStyle w:val="TableHeading"/>
            </w:pPr>
            <w:r>
              <w:t>No.</w:t>
            </w:r>
          </w:p>
        </w:tc>
        <w:tc>
          <w:tcPr>
            <w:tcW w:w="4820" w:type="dxa"/>
            <w:tcBorders>
              <w:top w:val="single" w:sz="12" w:space="0" w:color="000000" w:themeColor="text1"/>
              <w:bottom w:val="single" w:sz="12" w:space="0" w:color="000000" w:themeColor="text1"/>
            </w:tcBorders>
            <w:vAlign w:val="center"/>
          </w:tcPr>
          <w:p w:rsidR="00D8177D" w:rsidRPr="00AE6856" w:rsidRDefault="00D8177D" w:rsidP="00D8177D">
            <w:pPr>
              <w:pStyle w:val="TableHeading"/>
            </w:pPr>
            <w:r>
              <w:t>Land Use</w:t>
            </w:r>
          </w:p>
        </w:tc>
        <w:tc>
          <w:tcPr>
            <w:tcW w:w="3260" w:type="dxa"/>
            <w:tcBorders>
              <w:top w:val="single" w:sz="12" w:space="0" w:color="000000" w:themeColor="text1"/>
              <w:bottom w:val="single" w:sz="12" w:space="0" w:color="000000" w:themeColor="text1"/>
            </w:tcBorders>
            <w:vAlign w:val="center"/>
          </w:tcPr>
          <w:p w:rsidR="00D8177D" w:rsidRPr="00AE6856" w:rsidRDefault="00D8177D" w:rsidP="00D8177D">
            <w:pPr>
              <w:pStyle w:val="TableHeading"/>
            </w:pPr>
            <w:r>
              <w:t>Design Flood Recurrence Interval</w:t>
            </w:r>
          </w:p>
        </w:tc>
      </w:tr>
      <w:tr w:rsidR="00D8177D" w:rsidRPr="00000D74" w:rsidTr="00FC3B2B">
        <w:tc>
          <w:tcPr>
            <w:tcW w:w="992" w:type="dxa"/>
            <w:tcBorders>
              <w:top w:val="single" w:sz="12" w:space="0" w:color="000000" w:themeColor="text1"/>
            </w:tcBorders>
            <w:vAlign w:val="center"/>
          </w:tcPr>
          <w:p w:rsidR="00D8177D" w:rsidRPr="00000D74" w:rsidRDefault="00D8177D" w:rsidP="00EA68BC">
            <w:pPr>
              <w:pStyle w:val="Table-Singlerowsentries"/>
              <w:ind w:left="0"/>
              <w:jc w:val="center"/>
            </w:pPr>
            <w:r>
              <w:t>1.</w:t>
            </w:r>
          </w:p>
        </w:tc>
        <w:tc>
          <w:tcPr>
            <w:tcW w:w="4820" w:type="dxa"/>
            <w:tcBorders>
              <w:top w:val="single" w:sz="12" w:space="0" w:color="000000" w:themeColor="text1"/>
            </w:tcBorders>
          </w:tcPr>
          <w:p w:rsidR="00D8177D" w:rsidRPr="00085C1D" w:rsidRDefault="00D8177D" w:rsidP="00EA68BC">
            <w:pPr>
              <w:pStyle w:val="Table-Singlerowsentries"/>
            </w:pPr>
            <w:r>
              <w:t>Residential</w:t>
            </w:r>
          </w:p>
        </w:tc>
        <w:tc>
          <w:tcPr>
            <w:tcW w:w="3260" w:type="dxa"/>
            <w:tcBorders>
              <w:top w:val="single" w:sz="12" w:space="0" w:color="000000" w:themeColor="text1"/>
            </w:tcBorders>
            <w:vAlign w:val="center"/>
          </w:tcPr>
          <w:p w:rsidR="00D8177D" w:rsidRPr="002560BC" w:rsidRDefault="00D8177D" w:rsidP="00EA68BC">
            <w:pPr>
              <w:pStyle w:val="Table-Singlerowsentries"/>
              <w:jc w:val="center"/>
            </w:pPr>
            <w:r>
              <w:t>1 in 50 years</w:t>
            </w:r>
          </w:p>
        </w:tc>
      </w:tr>
      <w:tr w:rsidR="00D8177D" w:rsidRPr="00000D74" w:rsidTr="00FC3B2B">
        <w:tc>
          <w:tcPr>
            <w:tcW w:w="992" w:type="dxa"/>
            <w:vAlign w:val="center"/>
          </w:tcPr>
          <w:p w:rsidR="00D8177D" w:rsidRDefault="00D8177D" w:rsidP="00EA68BC">
            <w:pPr>
              <w:pStyle w:val="Table-Singlerowsentries"/>
              <w:ind w:left="0"/>
              <w:jc w:val="center"/>
            </w:pPr>
            <w:r>
              <w:t>2.</w:t>
            </w:r>
          </w:p>
        </w:tc>
        <w:tc>
          <w:tcPr>
            <w:tcW w:w="4820" w:type="dxa"/>
          </w:tcPr>
          <w:p w:rsidR="00D8177D" w:rsidRDefault="00D8177D" w:rsidP="00EA68BC">
            <w:pPr>
              <w:pStyle w:val="Table-Singlerowsentries"/>
            </w:pPr>
            <w:r>
              <w:t>Institutional (e.g. schools)</w:t>
            </w:r>
          </w:p>
        </w:tc>
        <w:tc>
          <w:tcPr>
            <w:tcW w:w="3260" w:type="dxa"/>
            <w:vAlign w:val="center"/>
          </w:tcPr>
          <w:p w:rsidR="00D8177D" w:rsidRPr="00A20C56" w:rsidRDefault="00D8177D" w:rsidP="00EA68BC">
            <w:pPr>
              <w:pStyle w:val="Table-Singlerowsentries"/>
              <w:jc w:val="center"/>
            </w:pPr>
            <w:r>
              <w:t>1 in 50 years</w:t>
            </w:r>
          </w:p>
        </w:tc>
      </w:tr>
      <w:tr w:rsidR="00D8177D" w:rsidRPr="00000D74" w:rsidTr="00FC3B2B">
        <w:tc>
          <w:tcPr>
            <w:tcW w:w="992" w:type="dxa"/>
            <w:vAlign w:val="center"/>
          </w:tcPr>
          <w:p w:rsidR="00D8177D" w:rsidRDefault="00D8177D" w:rsidP="00EA68BC">
            <w:pPr>
              <w:pStyle w:val="Table-Singlerowsentries"/>
              <w:ind w:left="0"/>
              <w:jc w:val="center"/>
            </w:pPr>
            <w:r>
              <w:t>3.</w:t>
            </w:r>
          </w:p>
        </w:tc>
        <w:tc>
          <w:tcPr>
            <w:tcW w:w="4820" w:type="dxa"/>
          </w:tcPr>
          <w:p w:rsidR="00D8177D" w:rsidRDefault="00D8177D" w:rsidP="00EA68BC">
            <w:pPr>
              <w:pStyle w:val="Table-Singlerowsentries"/>
            </w:pPr>
            <w:r>
              <w:t>General commercial and industrial</w:t>
            </w:r>
          </w:p>
        </w:tc>
        <w:tc>
          <w:tcPr>
            <w:tcW w:w="3260" w:type="dxa"/>
            <w:vAlign w:val="center"/>
          </w:tcPr>
          <w:p w:rsidR="00D8177D" w:rsidRDefault="00D8177D" w:rsidP="00EA68BC">
            <w:pPr>
              <w:pStyle w:val="Table-Singlerowsentries"/>
              <w:jc w:val="center"/>
            </w:pPr>
            <w:r>
              <w:t>1 in 50 years</w:t>
            </w:r>
          </w:p>
        </w:tc>
      </w:tr>
      <w:tr w:rsidR="00D8177D" w:rsidRPr="00000D74" w:rsidTr="00FC3B2B">
        <w:tc>
          <w:tcPr>
            <w:tcW w:w="992" w:type="dxa"/>
            <w:vAlign w:val="center"/>
          </w:tcPr>
          <w:p w:rsidR="00D8177D" w:rsidRDefault="00D8177D" w:rsidP="00EA68BC">
            <w:pPr>
              <w:pStyle w:val="Table-Singlerowsentries"/>
              <w:ind w:left="0"/>
              <w:jc w:val="center"/>
            </w:pPr>
            <w:r>
              <w:t>4.</w:t>
            </w:r>
          </w:p>
        </w:tc>
        <w:tc>
          <w:tcPr>
            <w:tcW w:w="4820" w:type="dxa"/>
          </w:tcPr>
          <w:p w:rsidR="00D8177D" w:rsidRDefault="00D8177D" w:rsidP="00EA68BC">
            <w:pPr>
              <w:pStyle w:val="Table-Singlerowsentries"/>
            </w:pPr>
            <w:r>
              <w:t>High value central business districts</w:t>
            </w:r>
          </w:p>
        </w:tc>
        <w:tc>
          <w:tcPr>
            <w:tcW w:w="3260" w:type="dxa"/>
            <w:vAlign w:val="center"/>
          </w:tcPr>
          <w:p w:rsidR="00D8177D" w:rsidRDefault="00D8177D" w:rsidP="00EA68BC">
            <w:pPr>
              <w:pStyle w:val="Table-Singlerowsentries"/>
              <w:jc w:val="center"/>
            </w:pPr>
            <w:r>
              <w:t>1 in 100 years</w:t>
            </w:r>
          </w:p>
        </w:tc>
      </w:tr>
    </w:tbl>
    <w:p w:rsidR="00D8177D" w:rsidRDefault="00D8177D" w:rsidP="004D308D">
      <w:pPr>
        <w:pStyle w:val="Para2"/>
        <w:rPr>
          <w:highlight w:val="yellow"/>
        </w:rPr>
      </w:pPr>
    </w:p>
    <w:tbl>
      <w:tblPr>
        <w:tblStyle w:val="TableGrid"/>
        <w:tblW w:w="9072" w:type="dxa"/>
        <w:tblInd w:w="81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992"/>
        <w:gridCol w:w="4820"/>
        <w:gridCol w:w="3260"/>
      </w:tblGrid>
      <w:tr w:rsidR="00D8177D" w:rsidRPr="00000D74" w:rsidTr="00FC3B2B">
        <w:trPr>
          <w:tblHeader/>
        </w:trPr>
        <w:tc>
          <w:tcPr>
            <w:tcW w:w="9072" w:type="dxa"/>
            <w:gridSpan w:val="3"/>
            <w:tcBorders>
              <w:bottom w:val="single" w:sz="12" w:space="0" w:color="000000" w:themeColor="text1"/>
            </w:tcBorders>
            <w:vAlign w:val="center"/>
          </w:tcPr>
          <w:p w:rsidR="00D8177D" w:rsidRPr="00000D74" w:rsidRDefault="00D8177D" w:rsidP="008D14E8">
            <w:pPr>
              <w:pStyle w:val="TableHeading"/>
              <w:rPr>
                <w:lang w:val="en-US"/>
              </w:rPr>
            </w:pPr>
            <w:r>
              <w:rPr>
                <w:lang w:val="en-US"/>
              </w:rPr>
              <w:t>TABLE 6.2:  DESIGN FLOOD FREQU</w:t>
            </w:r>
            <w:r w:rsidR="008D14E8">
              <w:rPr>
                <w:lang w:val="en-US"/>
              </w:rPr>
              <w:t>E</w:t>
            </w:r>
            <w:r>
              <w:rPr>
                <w:lang w:val="en-US"/>
              </w:rPr>
              <w:t>NCIES FOR MINOR SYSTEMS</w:t>
            </w:r>
          </w:p>
        </w:tc>
      </w:tr>
      <w:tr w:rsidR="00D8177D" w:rsidRPr="00AE6856" w:rsidTr="00FC3B2B">
        <w:tc>
          <w:tcPr>
            <w:tcW w:w="992" w:type="dxa"/>
            <w:tcBorders>
              <w:top w:val="single" w:sz="12" w:space="0" w:color="000000" w:themeColor="text1"/>
              <w:bottom w:val="single" w:sz="12" w:space="0" w:color="000000" w:themeColor="text1"/>
            </w:tcBorders>
            <w:vAlign w:val="center"/>
          </w:tcPr>
          <w:p w:rsidR="00D8177D" w:rsidRPr="00AE6856" w:rsidRDefault="00D8177D" w:rsidP="00EA68BC">
            <w:pPr>
              <w:pStyle w:val="TableHeading"/>
            </w:pPr>
            <w:r>
              <w:t>No.</w:t>
            </w:r>
          </w:p>
        </w:tc>
        <w:tc>
          <w:tcPr>
            <w:tcW w:w="4820" w:type="dxa"/>
            <w:tcBorders>
              <w:top w:val="single" w:sz="12" w:space="0" w:color="000000" w:themeColor="text1"/>
              <w:bottom w:val="single" w:sz="12" w:space="0" w:color="000000" w:themeColor="text1"/>
            </w:tcBorders>
            <w:vAlign w:val="center"/>
          </w:tcPr>
          <w:p w:rsidR="00D8177D" w:rsidRPr="00AE6856" w:rsidRDefault="00D8177D" w:rsidP="00EA68BC">
            <w:pPr>
              <w:pStyle w:val="TableHeading"/>
            </w:pPr>
            <w:r>
              <w:t>Land Use</w:t>
            </w:r>
          </w:p>
        </w:tc>
        <w:tc>
          <w:tcPr>
            <w:tcW w:w="3260" w:type="dxa"/>
            <w:tcBorders>
              <w:top w:val="single" w:sz="12" w:space="0" w:color="000000" w:themeColor="text1"/>
              <w:bottom w:val="single" w:sz="12" w:space="0" w:color="000000" w:themeColor="text1"/>
            </w:tcBorders>
            <w:vAlign w:val="center"/>
          </w:tcPr>
          <w:p w:rsidR="00D8177D" w:rsidRPr="00AE6856" w:rsidRDefault="00D8177D" w:rsidP="00EA68BC">
            <w:pPr>
              <w:pStyle w:val="TableHeading"/>
            </w:pPr>
            <w:r>
              <w:t>Design Flood Recurrence Interval</w:t>
            </w:r>
          </w:p>
        </w:tc>
      </w:tr>
      <w:tr w:rsidR="00D8177D" w:rsidRPr="00000D74" w:rsidTr="00FC3B2B">
        <w:tc>
          <w:tcPr>
            <w:tcW w:w="992" w:type="dxa"/>
            <w:tcBorders>
              <w:top w:val="single" w:sz="12" w:space="0" w:color="000000" w:themeColor="text1"/>
            </w:tcBorders>
            <w:vAlign w:val="center"/>
          </w:tcPr>
          <w:p w:rsidR="00D8177D" w:rsidRPr="00000D74" w:rsidRDefault="00D8177D" w:rsidP="00EA68BC">
            <w:pPr>
              <w:pStyle w:val="Table-Singlerowsentries"/>
              <w:ind w:left="0"/>
              <w:jc w:val="center"/>
            </w:pPr>
            <w:r>
              <w:t>1.</w:t>
            </w:r>
          </w:p>
        </w:tc>
        <w:tc>
          <w:tcPr>
            <w:tcW w:w="4820" w:type="dxa"/>
            <w:tcBorders>
              <w:top w:val="single" w:sz="12" w:space="0" w:color="000000" w:themeColor="text1"/>
            </w:tcBorders>
          </w:tcPr>
          <w:p w:rsidR="00D8177D" w:rsidRPr="00085C1D" w:rsidRDefault="00D8177D" w:rsidP="00EA68BC">
            <w:pPr>
              <w:pStyle w:val="Table-Singlerowsentries"/>
            </w:pPr>
            <w:r>
              <w:t>Residential</w:t>
            </w:r>
          </w:p>
        </w:tc>
        <w:tc>
          <w:tcPr>
            <w:tcW w:w="3260" w:type="dxa"/>
            <w:tcBorders>
              <w:top w:val="single" w:sz="12" w:space="0" w:color="000000" w:themeColor="text1"/>
            </w:tcBorders>
            <w:vAlign w:val="center"/>
          </w:tcPr>
          <w:p w:rsidR="00D8177D" w:rsidRPr="002560BC" w:rsidRDefault="00D8177D" w:rsidP="00EA68BC">
            <w:pPr>
              <w:pStyle w:val="Table-Singlerowsentries"/>
              <w:jc w:val="center"/>
            </w:pPr>
            <w:r>
              <w:t>1 in 5 years</w:t>
            </w:r>
          </w:p>
        </w:tc>
      </w:tr>
      <w:tr w:rsidR="00D8177D" w:rsidRPr="00000D74" w:rsidTr="00FC3B2B">
        <w:tc>
          <w:tcPr>
            <w:tcW w:w="992" w:type="dxa"/>
            <w:vAlign w:val="center"/>
          </w:tcPr>
          <w:p w:rsidR="00D8177D" w:rsidRDefault="00D8177D" w:rsidP="00EA68BC">
            <w:pPr>
              <w:pStyle w:val="Table-Singlerowsentries"/>
              <w:ind w:left="0"/>
              <w:jc w:val="center"/>
            </w:pPr>
            <w:r>
              <w:t>2.</w:t>
            </w:r>
          </w:p>
        </w:tc>
        <w:tc>
          <w:tcPr>
            <w:tcW w:w="4820" w:type="dxa"/>
          </w:tcPr>
          <w:p w:rsidR="00D8177D" w:rsidRDefault="00D8177D" w:rsidP="00EA68BC">
            <w:pPr>
              <w:pStyle w:val="Table-Singlerowsentries"/>
            </w:pPr>
            <w:r>
              <w:t>Institutional (e.g. schools)</w:t>
            </w:r>
          </w:p>
        </w:tc>
        <w:tc>
          <w:tcPr>
            <w:tcW w:w="3260" w:type="dxa"/>
            <w:vAlign w:val="center"/>
          </w:tcPr>
          <w:p w:rsidR="00D8177D" w:rsidRPr="00A20C56" w:rsidRDefault="00D8177D" w:rsidP="00EA68BC">
            <w:pPr>
              <w:pStyle w:val="Table-Singlerowsentries"/>
              <w:jc w:val="center"/>
            </w:pPr>
            <w:r>
              <w:t>1 in 5 years</w:t>
            </w:r>
          </w:p>
        </w:tc>
      </w:tr>
      <w:tr w:rsidR="00D8177D" w:rsidRPr="00000D74" w:rsidTr="00FC3B2B">
        <w:tc>
          <w:tcPr>
            <w:tcW w:w="992" w:type="dxa"/>
            <w:vAlign w:val="center"/>
          </w:tcPr>
          <w:p w:rsidR="00D8177D" w:rsidRDefault="00D8177D" w:rsidP="00EA68BC">
            <w:pPr>
              <w:pStyle w:val="Table-Singlerowsentries"/>
              <w:ind w:left="0"/>
              <w:jc w:val="center"/>
            </w:pPr>
            <w:r>
              <w:t>3.</w:t>
            </w:r>
          </w:p>
        </w:tc>
        <w:tc>
          <w:tcPr>
            <w:tcW w:w="4820" w:type="dxa"/>
          </w:tcPr>
          <w:p w:rsidR="00D8177D" w:rsidRDefault="00D8177D" w:rsidP="00EA68BC">
            <w:pPr>
              <w:pStyle w:val="Table-Singlerowsentries"/>
            </w:pPr>
            <w:r>
              <w:t>General commercial and industrial</w:t>
            </w:r>
          </w:p>
        </w:tc>
        <w:tc>
          <w:tcPr>
            <w:tcW w:w="3260" w:type="dxa"/>
            <w:vAlign w:val="center"/>
          </w:tcPr>
          <w:p w:rsidR="00D8177D" w:rsidRDefault="00D8177D" w:rsidP="00EA68BC">
            <w:pPr>
              <w:pStyle w:val="Table-Singlerowsentries"/>
              <w:jc w:val="center"/>
            </w:pPr>
            <w:r>
              <w:t>1 in 5 years</w:t>
            </w:r>
          </w:p>
        </w:tc>
      </w:tr>
      <w:tr w:rsidR="00D8177D" w:rsidRPr="00000D74" w:rsidTr="00FC3B2B">
        <w:tc>
          <w:tcPr>
            <w:tcW w:w="992" w:type="dxa"/>
            <w:vAlign w:val="center"/>
          </w:tcPr>
          <w:p w:rsidR="00D8177D" w:rsidRDefault="00D8177D" w:rsidP="00EA68BC">
            <w:pPr>
              <w:pStyle w:val="Table-Singlerowsentries"/>
              <w:ind w:left="0"/>
              <w:jc w:val="center"/>
            </w:pPr>
            <w:r>
              <w:t>4.</w:t>
            </w:r>
          </w:p>
        </w:tc>
        <w:tc>
          <w:tcPr>
            <w:tcW w:w="4820" w:type="dxa"/>
          </w:tcPr>
          <w:p w:rsidR="00D8177D" w:rsidRDefault="00D8177D" w:rsidP="00EA68BC">
            <w:pPr>
              <w:pStyle w:val="Table-Singlerowsentries"/>
            </w:pPr>
            <w:r>
              <w:t>High value central business districts</w:t>
            </w:r>
          </w:p>
        </w:tc>
        <w:tc>
          <w:tcPr>
            <w:tcW w:w="3260" w:type="dxa"/>
            <w:vAlign w:val="center"/>
          </w:tcPr>
          <w:p w:rsidR="00D8177D" w:rsidRDefault="00D8177D" w:rsidP="00EA68BC">
            <w:pPr>
              <w:pStyle w:val="Table-Singlerowsentries"/>
              <w:jc w:val="center"/>
            </w:pPr>
            <w:r>
              <w:t>1 in 10 years</w:t>
            </w:r>
          </w:p>
        </w:tc>
      </w:tr>
    </w:tbl>
    <w:p w:rsidR="004D308D" w:rsidRDefault="004D308D" w:rsidP="00900568">
      <w:pPr>
        <w:pStyle w:val="ListNumber2"/>
      </w:pPr>
      <w:r>
        <w:t>The National Water Act, Act 36 of 1998, must be read in conjunction with the above-mentioned document.  According to Section 144 of the Act, a 100-year recurrence interval flood line must be shown on residential/institutional development plans.</w:t>
      </w:r>
    </w:p>
    <w:p w:rsidR="004D308D" w:rsidRDefault="004D308D" w:rsidP="00900568">
      <w:pPr>
        <w:pStyle w:val="ListNumber2"/>
      </w:pPr>
      <w:r>
        <w:t xml:space="preserve">The determination of flood lines is a specialist competency and the Consultant may appoint a specialist, with approval of the Department, if necessary.  The stipulations in </w:t>
      </w:r>
      <w:hyperlink r:id="rId27" w:anchor="SectionA15_Use_of_Specialists" w:history="1">
        <w:r w:rsidRPr="00F760FF">
          <w:rPr>
            <w:rStyle w:val="Hyperlink"/>
          </w:rPr>
          <w:t>Section A.15</w:t>
        </w:r>
      </w:hyperlink>
      <w:r>
        <w:t xml:space="preserve"> must be adhered to in this regard.</w:t>
      </w:r>
    </w:p>
    <w:p w:rsidR="004D308D" w:rsidRDefault="004D308D" w:rsidP="00900568">
      <w:pPr>
        <w:pStyle w:val="ListNumber2"/>
      </w:pPr>
      <w:r>
        <w:t>The recommended minimum size of sediment carrying storm</w:t>
      </w:r>
      <w:r w:rsidR="00B51858">
        <w:t xml:space="preserve"> </w:t>
      </w:r>
      <w:r>
        <w:t xml:space="preserve">water pipes is 450 mm diameter, and shall as far as possible be </w:t>
      </w:r>
      <w:r>
        <w:rPr>
          <w:rFonts w:hint="eastAsia"/>
        </w:rPr>
        <w:t>“</w:t>
      </w:r>
      <w:r>
        <w:t>self-cleansing</w:t>
      </w:r>
      <w:r>
        <w:rPr>
          <w:rFonts w:hint="eastAsia"/>
        </w:rPr>
        <w:t>”</w:t>
      </w:r>
      <w:r>
        <w:t xml:space="preserve">.  The minimum acceptable class of pipe to be used has to withstand a 45,0 </w:t>
      </w:r>
      <w:proofErr w:type="spellStart"/>
      <w:r>
        <w:t>kN</w:t>
      </w:r>
      <w:proofErr w:type="spellEnd"/>
      <w:r>
        <w:t xml:space="preserve"> per metre length of pipe load for class D Proof loading as described in SANS 677, unless there is no possibility of vehicle loads occurring.  In addition, if vehicle loads are expected, the strength of the pipe must be designed accordingly for traffic loads.</w:t>
      </w:r>
    </w:p>
    <w:p w:rsidR="004D308D" w:rsidRDefault="004D308D" w:rsidP="00AB6F24">
      <w:pPr>
        <w:pStyle w:val="Para2"/>
      </w:pPr>
      <w:r>
        <w:t>Storm</w:t>
      </w:r>
      <w:r w:rsidR="002C146F">
        <w:t xml:space="preserve"> </w:t>
      </w:r>
      <w:r>
        <w:t>water pipes in dolomite areas shall be of HDPE except where otherwise approved by the Department.</w:t>
      </w:r>
    </w:p>
    <w:p w:rsidR="004D308D" w:rsidRDefault="004D308D" w:rsidP="00900568">
      <w:pPr>
        <w:pStyle w:val="ListNumber2"/>
      </w:pPr>
      <w:r>
        <w:t>All the necessary tools to open manholes shall be supplied with the Contract.  A minimum of two</w:t>
      </w:r>
      <w:r w:rsidR="00F760FF">
        <w:t xml:space="preserve"> (2)</w:t>
      </w:r>
      <w:r>
        <w:t xml:space="preserve"> tools for each type/application is required</w:t>
      </w:r>
    </w:p>
    <w:p w:rsidR="000F6B21" w:rsidRDefault="000F6B21" w:rsidP="00AB6F24">
      <w:pPr>
        <w:pStyle w:val="ListNumber"/>
        <w:sectPr w:rsidR="000F6B21" w:rsidSect="00DD2A5E">
          <w:pgSz w:w="11906" w:h="16838" w:code="9"/>
          <w:pgMar w:top="1134" w:right="964" w:bottom="964" w:left="1134" w:header="794" w:footer="510" w:gutter="0"/>
          <w:cols w:space="708"/>
          <w:docGrid w:linePitch="360"/>
        </w:sectPr>
      </w:pPr>
    </w:p>
    <w:p w:rsidR="004D308D" w:rsidRDefault="004D308D" w:rsidP="00AB6F24">
      <w:pPr>
        <w:pStyle w:val="ListNumber"/>
      </w:pPr>
      <w:bookmarkStart w:id="16" w:name="_Toc298140518"/>
      <w:r>
        <w:lastRenderedPageBreak/>
        <w:t>SUBSURFACE DRAINAGE</w:t>
      </w:r>
      <w:bookmarkEnd w:id="16"/>
    </w:p>
    <w:p w:rsidR="004D308D" w:rsidRDefault="004D308D" w:rsidP="00AB6F24">
      <w:pPr>
        <w:pStyle w:val="ListNumber2"/>
      </w:pPr>
      <w:r>
        <w:t>General Sub-surface Drainage</w:t>
      </w:r>
    </w:p>
    <w:p w:rsidR="004D308D" w:rsidRDefault="004D308D" w:rsidP="004D308D">
      <w:pPr>
        <w:pStyle w:val="Para2"/>
      </w:pPr>
      <w:r>
        <w:t>The Consultant shall review and report on the relevant and/or geotechnical information to assess the need to provide a subsoil drainage system.</w:t>
      </w:r>
    </w:p>
    <w:p w:rsidR="004D308D" w:rsidRDefault="004D308D" w:rsidP="004D308D">
      <w:pPr>
        <w:pStyle w:val="Para2"/>
      </w:pPr>
      <w:r>
        <w:t xml:space="preserve">Subsurface drainage is an important element in the management of water.  The handling of subsurface drainage is extensively covered in the TRH 15 document </w:t>
      </w:r>
      <w:r>
        <w:rPr>
          <w:rFonts w:hint="eastAsia"/>
        </w:rPr>
        <w:t>“</w:t>
      </w:r>
      <w:r>
        <w:t>Subsurface Drainage for Roads</w:t>
      </w:r>
      <w:r>
        <w:rPr>
          <w:rFonts w:hint="eastAsia"/>
        </w:rPr>
        <w:t>”</w:t>
      </w:r>
      <w:r>
        <w:t xml:space="preserve"> published by the CSIR.  Although this document is specifically aimed at subsurface drainage for roads, the basic principles can be used for other applications.</w:t>
      </w:r>
    </w:p>
    <w:p w:rsidR="004D308D" w:rsidRDefault="004D308D" w:rsidP="004D308D">
      <w:pPr>
        <w:pStyle w:val="Para2"/>
      </w:pPr>
      <w:r>
        <w:t>In dolomite areas, subsurface drainage may not be allowed except if designed by a specialist in construction on dolomite areas.</w:t>
      </w:r>
    </w:p>
    <w:p w:rsidR="004D308D" w:rsidRDefault="004D308D" w:rsidP="00AB6F24">
      <w:pPr>
        <w:pStyle w:val="ListNumber2"/>
      </w:pPr>
      <w:r>
        <w:t>Sub-Surface Drainage Systems for Buildings</w:t>
      </w:r>
    </w:p>
    <w:p w:rsidR="004D308D" w:rsidRDefault="004D308D" w:rsidP="004D308D">
      <w:pPr>
        <w:pStyle w:val="Para2"/>
      </w:pPr>
      <w:r>
        <w:t xml:space="preserve">Special attention shall be given to the waterproofing of basements and the removal of subsurface water in buildings.  Particular attention shall be given to the provisions in </w:t>
      </w:r>
      <w:r w:rsidR="00F760FF">
        <w:br/>
      </w:r>
      <w:r>
        <w:t xml:space="preserve">SANS 10021 </w:t>
      </w:r>
      <w:r>
        <w:rPr>
          <w:rFonts w:hint="eastAsia"/>
        </w:rPr>
        <w:t>“</w:t>
      </w:r>
      <w:r>
        <w:t>The Waterproofing of Buildings</w:t>
      </w:r>
      <w:r>
        <w:rPr>
          <w:rFonts w:hint="eastAsia"/>
        </w:rPr>
        <w:t>”</w:t>
      </w:r>
    </w:p>
    <w:p w:rsidR="004D308D" w:rsidRDefault="004D308D" w:rsidP="004D308D">
      <w:pPr>
        <w:pStyle w:val="Para2"/>
      </w:pPr>
      <w:r>
        <w:t>The outside of basement walls shall be adequately waterproofed and a drainage system shall drain the subsurface water through the basement walls into collector drains inside the building.  The water from these drains shall drain into a sump to be pumped into a suitable point of the storm</w:t>
      </w:r>
      <w:r w:rsidR="00DB1448">
        <w:t xml:space="preserve"> </w:t>
      </w:r>
      <w:r>
        <w:t>water system around the building.</w:t>
      </w:r>
    </w:p>
    <w:p w:rsidR="004D308D" w:rsidRDefault="004D308D" w:rsidP="004D308D">
      <w:pPr>
        <w:pStyle w:val="Para2"/>
      </w:pPr>
      <w:r>
        <w:t>Sumps shall generally be provided in the basement or at lift shafts and de-watering shall be accommodated by means of electric pumps.  The pumps shall be designed as such that the maximum calculated design flow can be accommodated.  The system should be designed with electronic controls and alarm systems so that adequate warning of flooding can be given if the pumps fail to switch on in time.  These pumps shall be wired to be powered off the electrical emergency supply system.</w:t>
      </w:r>
    </w:p>
    <w:p w:rsidR="004D308D" w:rsidRDefault="004D308D" w:rsidP="004D308D">
      <w:pPr>
        <w:pStyle w:val="Para2"/>
      </w:pPr>
      <w:r>
        <w:t>The supply of an Operation and Maintenance Manual is mandatory and shall be forwarded to the Department in draft form together with the preliminary design report and drawings and in final format one</w:t>
      </w:r>
      <w:r w:rsidR="00DB1448">
        <w:t xml:space="preserve"> (1)</w:t>
      </w:r>
      <w:r>
        <w:t xml:space="preserve"> month before commissioning of the system.</w:t>
      </w:r>
    </w:p>
    <w:p w:rsidR="004D308D" w:rsidRDefault="004D308D" w:rsidP="00AB6F24">
      <w:pPr>
        <w:pStyle w:val="ListNumber"/>
      </w:pPr>
      <w:bookmarkStart w:id="17" w:name="_Toc298140519"/>
      <w:r>
        <w:t>EXISTING ELECTRICAL SERVICES</w:t>
      </w:r>
      <w:bookmarkEnd w:id="17"/>
    </w:p>
    <w:p w:rsidR="004D308D" w:rsidRDefault="004D308D" w:rsidP="00AB6F24">
      <w:pPr>
        <w:pStyle w:val="ListNumber2"/>
      </w:pPr>
      <w:r>
        <w:t>Existing Cables</w:t>
      </w:r>
    </w:p>
    <w:p w:rsidR="004D308D" w:rsidRDefault="004D308D" w:rsidP="004D308D">
      <w:pPr>
        <w:pStyle w:val="Para2"/>
      </w:pPr>
      <w:r>
        <w:t xml:space="preserve">As part of the civil engineering contract, any existing underground cables must be specified to be encased in suitable split pipes, before new roads are constructed over them, as part of the civil engineering contract.  Permanent markers must also be provided, e.g. in the kerbing, to show where sleeves or cables cross under the roads.  Service markers, as specified in </w:t>
      </w:r>
      <w:hyperlink r:id="rId28" w:anchor="SectionF4_9_5_ServiceMarkers" w:history="1">
        <w:r w:rsidRPr="00F760FF">
          <w:rPr>
            <w:rStyle w:val="Hyperlink"/>
          </w:rPr>
          <w:t>paragraph 4.9.5</w:t>
        </w:r>
      </w:hyperlink>
      <w:r>
        <w:t>, must be incorporated into the design by the civil engineer and placed in such a way that the route of the cables can be easily tracked.</w:t>
      </w:r>
    </w:p>
    <w:p w:rsidR="004D308D" w:rsidRDefault="004D308D" w:rsidP="004D308D">
      <w:pPr>
        <w:pStyle w:val="Para2"/>
      </w:pPr>
      <w:r>
        <w:t xml:space="preserve">Cables shall be installed at least </w:t>
      </w:r>
      <w:r w:rsidR="00F760FF">
        <w:t>1m</w:t>
      </w:r>
      <w:r>
        <w:t xml:space="preserve"> below the road surface.</w:t>
      </w:r>
    </w:p>
    <w:p w:rsidR="004D308D" w:rsidRDefault="004D308D" w:rsidP="00AB6F24">
      <w:pPr>
        <w:pStyle w:val="ListNumber2"/>
      </w:pPr>
      <w:r>
        <w:t>Alterations to Existing Reticulation</w:t>
      </w:r>
    </w:p>
    <w:p w:rsidR="004D308D" w:rsidRDefault="004D308D" w:rsidP="004D308D">
      <w:pPr>
        <w:pStyle w:val="Para2"/>
      </w:pPr>
      <w:r>
        <w:t>If instructed to do so by the Departmental Project Manager, and should any work be required on the existing electrical system such as re-routing or lowering of underground cables, moving of overhead lines, making safe against damage of existing electrical services and telephone cables, etc., the Department must appoint an Electrical Consulting Engineer to do the planning and specifying of such work.  Any such work, if involved, must form part of the civil engineering contract, and allowances must be made in the schedule of quantities and</w:t>
      </w:r>
      <w:r w:rsidR="00BA507B">
        <w:t xml:space="preserve"> </w:t>
      </w:r>
      <w:r>
        <w:lastRenderedPageBreak/>
        <w:t>estimate for any such work.  The Electrical Consulting Engineer must compile this electrical sub-document.</w:t>
      </w:r>
    </w:p>
    <w:p w:rsidR="004D308D" w:rsidRDefault="004D308D" w:rsidP="004D308D">
      <w:pPr>
        <w:pStyle w:val="Para2"/>
      </w:pPr>
      <w:r>
        <w:t xml:space="preserve">Ducting in dolomite areas shall also be installed as specified in </w:t>
      </w:r>
      <w:hyperlink r:id="rId29" w:anchor="SectionF4_9_Ducting" w:history="1">
        <w:r w:rsidRPr="00F760FF">
          <w:rPr>
            <w:rStyle w:val="Hyperlink"/>
          </w:rPr>
          <w:t>paragraph 4.9</w:t>
        </w:r>
      </w:hyperlink>
      <w:r>
        <w:t>.</w:t>
      </w:r>
    </w:p>
    <w:p w:rsidR="004D308D" w:rsidRDefault="004D308D" w:rsidP="00AB6F24">
      <w:pPr>
        <w:pStyle w:val="ListNumber2"/>
      </w:pPr>
      <w:r>
        <w:t>Electrical Sub-contractor</w:t>
      </w:r>
    </w:p>
    <w:p w:rsidR="004D308D" w:rsidRDefault="004D308D" w:rsidP="004D308D">
      <w:pPr>
        <w:pStyle w:val="Para2"/>
      </w:pPr>
      <w:r>
        <w:t>The contract documentation must make provision for the civil contractor to appoint an accredited electrical contractor to undertake any such electrical work.  The Sub-contractor must be in a position to make a suitably qualified electrician available in order to rectify any damage caused to electrical services by the civil contractor at all times.</w:t>
      </w:r>
    </w:p>
    <w:p w:rsidR="004D308D" w:rsidRDefault="004D308D" w:rsidP="004D308D">
      <w:pPr>
        <w:pStyle w:val="Para2"/>
      </w:pPr>
      <w:r>
        <w:t>All electrical work must be certified by an accredited person in terms of the Occupational Health and Safety Act.</w:t>
      </w:r>
    </w:p>
    <w:p w:rsidR="004D308D" w:rsidRDefault="004D308D" w:rsidP="00AB6F24">
      <w:pPr>
        <w:pStyle w:val="ListNumber"/>
      </w:pPr>
      <w:bookmarkStart w:id="18" w:name="_Toc298140520"/>
      <w:bookmarkStart w:id="19" w:name="SectionF12_Environmental_Issues"/>
      <w:r>
        <w:t>ENVIRONMENTAL ISSUES</w:t>
      </w:r>
      <w:bookmarkEnd w:id="18"/>
    </w:p>
    <w:bookmarkEnd w:id="19"/>
    <w:p w:rsidR="004D308D" w:rsidRDefault="004D308D" w:rsidP="00AB6F24">
      <w:pPr>
        <w:pStyle w:val="ListNumber2"/>
      </w:pPr>
      <w:r>
        <w:t>Relevant Legislation</w:t>
      </w:r>
    </w:p>
    <w:p w:rsidR="004D308D" w:rsidRDefault="004D308D" w:rsidP="004D308D">
      <w:pPr>
        <w:pStyle w:val="Para2"/>
      </w:pPr>
      <w:r>
        <w:t>The stipulations contained in the Environment Conservation Act No. 73 of 1989, the National Environmental Management Act No. 107 of 1998 as well as the Regulations in terms of Act No. 73 of 1989, as published in the Government Gazette No. 5999 on 5 September 1997 (R1182, R1183 and R1184), have to be adhered to.</w:t>
      </w:r>
    </w:p>
    <w:p w:rsidR="004D308D" w:rsidRDefault="004D308D" w:rsidP="00AB6F24">
      <w:pPr>
        <w:pStyle w:val="ListNumber2"/>
      </w:pPr>
      <w:r>
        <w:t>Preliminary Design Stage</w:t>
      </w:r>
    </w:p>
    <w:p w:rsidR="004D308D" w:rsidRDefault="004D308D" w:rsidP="004D308D">
      <w:pPr>
        <w:pStyle w:val="Para2"/>
      </w:pPr>
      <w:r>
        <w:t>A Pre-Environmental Impact Assessment (EIA) Checklist must be submitted to the Department of Environmental Affairs (DEA) if doubt exists whether the EIA process has to be followed.</w:t>
      </w:r>
    </w:p>
    <w:p w:rsidR="004D308D" w:rsidRDefault="004D308D" w:rsidP="004D308D">
      <w:pPr>
        <w:pStyle w:val="Para2"/>
      </w:pPr>
      <w:r>
        <w:t>In the event that the EIA process has to be followed, a complete Scoping Report, based on a Plan of Study approved by DEA, is needed.  An EIA is only needed if requested by DEA.</w:t>
      </w:r>
    </w:p>
    <w:p w:rsidR="004D308D" w:rsidRDefault="004D308D" w:rsidP="00AB6F24">
      <w:pPr>
        <w:pStyle w:val="ListNumber2"/>
      </w:pPr>
      <w:r>
        <w:t>Detail Design Stage</w:t>
      </w:r>
    </w:p>
    <w:p w:rsidR="004D308D" w:rsidRDefault="004D308D" w:rsidP="004D308D">
      <w:pPr>
        <w:pStyle w:val="Para2"/>
      </w:pPr>
      <w:r>
        <w:t>If a Scoping Report and/or EIA were done during the preliminary design stage, only the relevant issues have to be amended and/or updated.  An Environmental Management Plan (EMP) must be submitted if requested by DEA.</w:t>
      </w:r>
    </w:p>
    <w:p w:rsidR="004D308D" w:rsidRDefault="004D308D" w:rsidP="00AB6F24">
      <w:pPr>
        <w:pStyle w:val="ListNumber2"/>
      </w:pPr>
      <w:r>
        <w:t>Construction Stage</w:t>
      </w:r>
    </w:p>
    <w:p w:rsidR="004D308D" w:rsidRDefault="004D308D" w:rsidP="004D308D">
      <w:pPr>
        <w:pStyle w:val="Para2"/>
      </w:pPr>
      <w:r>
        <w:t>If a Scoping Report and/or EIA was done during either the preliminary or detail design stage, only the relevant issues have to be amended and/or updated before construction starts.  An Environmental Management Plan (EMP) must be submitted if requested by DEA.</w:t>
      </w:r>
    </w:p>
    <w:p w:rsidR="004D308D" w:rsidRDefault="004D308D" w:rsidP="00AB6F24">
      <w:pPr>
        <w:pStyle w:val="ListNumber2"/>
      </w:pPr>
      <w:r>
        <w:t>Record of Decisions (ROD)</w:t>
      </w:r>
    </w:p>
    <w:p w:rsidR="004D308D" w:rsidRDefault="004D308D" w:rsidP="004D308D">
      <w:pPr>
        <w:pStyle w:val="Para2"/>
      </w:pPr>
      <w:r>
        <w:t>No project should be embarked upon beyond the preliminary design stage unless the Record of Decision, emanating out of the above, has been filed with the consultant.  If the civil engineering work is a sub-component of a larger project, the Consultant shall insist that he be presented with proof that a Record of Decision is on file, and ensure how it influences his design.  The relevant stipulations in the Record of Decision must be incorporated into the Contract Specifications.</w:t>
      </w:r>
    </w:p>
    <w:p w:rsidR="00F8219B" w:rsidRPr="00F8219B" w:rsidRDefault="00F8219B" w:rsidP="00F8219B">
      <w:pPr>
        <w:pStyle w:val="ListNumber"/>
        <w:sectPr w:rsidR="00F8219B" w:rsidRPr="00F8219B" w:rsidSect="00DD2A5E">
          <w:pgSz w:w="11906" w:h="16838" w:code="9"/>
          <w:pgMar w:top="1134" w:right="964" w:bottom="964" w:left="1134" w:header="794" w:footer="510" w:gutter="0"/>
          <w:cols w:space="708"/>
          <w:docGrid w:linePitch="360"/>
        </w:sectPr>
      </w:pPr>
    </w:p>
    <w:p w:rsidR="004D308D" w:rsidRDefault="004D308D" w:rsidP="00AB6F24">
      <w:pPr>
        <w:pStyle w:val="ListNumber"/>
      </w:pPr>
      <w:bookmarkStart w:id="20" w:name="_Toc298140521"/>
      <w:r>
        <w:lastRenderedPageBreak/>
        <w:t>SOLID WASTE DISPOSAL</w:t>
      </w:r>
      <w:bookmarkEnd w:id="20"/>
    </w:p>
    <w:p w:rsidR="004D308D" w:rsidRDefault="004D308D" w:rsidP="00AB6F24">
      <w:pPr>
        <w:pStyle w:val="ListNumber2"/>
      </w:pPr>
      <w:r>
        <w:t xml:space="preserve">In the design of a solid waste disposal system cognisance should be taken of Chapter 11 of </w:t>
      </w:r>
      <w:r>
        <w:rPr>
          <w:rFonts w:hint="eastAsia"/>
        </w:rPr>
        <w:t>“</w:t>
      </w:r>
      <w:r>
        <w:t>Guidelines for Human Settlement Planning and Design</w:t>
      </w:r>
      <w:r>
        <w:rPr>
          <w:rFonts w:hint="eastAsia"/>
        </w:rPr>
        <w:t>”</w:t>
      </w:r>
      <w:r>
        <w:t xml:space="preserve"> and </w:t>
      </w:r>
      <w:r>
        <w:rPr>
          <w:rFonts w:hint="eastAsia"/>
        </w:rPr>
        <w:t>“</w:t>
      </w:r>
      <w:r>
        <w:t>Minimum Requirements for Waste Disposal by Landfill</w:t>
      </w:r>
      <w:r>
        <w:rPr>
          <w:rFonts w:hint="eastAsia"/>
        </w:rPr>
        <w:t>”</w:t>
      </w:r>
      <w:r>
        <w:t xml:space="preserve"> produced by the Department of Water Affairs.</w:t>
      </w:r>
    </w:p>
    <w:p w:rsidR="004D308D" w:rsidRDefault="004D308D" w:rsidP="00AB6F24">
      <w:pPr>
        <w:pStyle w:val="ListNumber2"/>
      </w:pPr>
      <w:r>
        <w:t>Solid waste should preferably be disposed by using the infrastructure of the existing local authority.  The cost aspect of this must be addressed in the design report.</w:t>
      </w:r>
    </w:p>
    <w:p w:rsidR="004D308D" w:rsidRDefault="004D308D" w:rsidP="00AB6F24">
      <w:pPr>
        <w:pStyle w:val="ListNumber2"/>
      </w:pPr>
      <w:r>
        <w:t xml:space="preserve">All solid waste disposal systems must comply with the appropriate current South African legislation, i.e. Environment Conservation Act 73 of 1989, National Water Act 36 of 1998 and the Health Act 63 of 1977.  The Department of Water Affairs also published reports (Second Edition 1998) with regards to </w:t>
      </w:r>
      <w:r>
        <w:rPr>
          <w:rFonts w:hint="eastAsia"/>
        </w:rPr>
        <w:t>“</w:t>
      </w:r>
      <w:r>
        <w:t>Minimum Requirements for Waste Disposal by Landfill</w:t>
      </w:r>
      <w:r>
        <w:rPr>
          <w:rFonts w:hint="eastAsia"/>
        </w:rPr>
        <w:t>”</w:t>
      </w:r>
      <w:r>
        <w:t xml:space="preserve"> and </w:t>
      </w:r>
      <w:r>
        <w:rPr>
          <w:rFonts w:hint="eastAsia"/>
        </w:rPr>
        <w:t>“</w:t>
      </w:r>
      <w:r>
        <w:t>Water Quality Monitoring at Waste Management Facilities</w:t>
      </w:r>
      <w:r>
        <w:rPr>
          <w:rFonts w:hint="eastAsia"/>
        </w:rPr>
        <w:t>”</w:t>
      </w:r>
      <w:r>
        <w:t>, which is of major importance in solid waste management.</w:t>
      </w:r>
    </w:p>
    <w:p w:rsidR="004D308D" w:rsidRDefault="004D308D" w:rsidP="00AB6F24">
      <w:pPr>
        <w:pStyle w:val="ListNumber2"/>
      </w:pPr>
      <w:r>
        <w:t>For new landfill sites the Civil Engineer must obtain the necessary permits as described in the above documents.  If necessary, the Civil Engineer must facilitate the appointment of a specialist consultant in this regard.  Three (3) quotations for these services must be obtained and submitted to the Departmental Project Manager for approval.  The processes to be followed as well as costs involved for both the permits and the Consultant</w:t>
      </w:r>
      <w:r>
        <w:rPr>
          <w:rFonts w:hint="eastAsia"/>
        </w:rPr>
        <w:t>’</w:t>
      </w:r>
      <w:r>
        <w:t>s time, must be addressed in the design report.</w:t>
      </w:r>
    </w:p>
    <w:p w:rsidR="004D308D" w:rsidRDefault="00AB6F24" w:rsidP="00AB6F24">
      <w:pPr>
        <w:pStyle w:val="ListNumber"/>
      </w:pPr>
      <w:bookmarkStart w:id="21" w:name="_Toc298140522"/>
      <w:r>
        <w:t>H</w:t>
      </w:r>
      <w:r w:rsidR="004D308D">
        <w:t>AZARDOUS WASTE DISPOSAL</w:t>
      </w:r>
      <w:bookmarkEnd w:id="21"/>
    </w:p>
    <w:p w:rsidR="004D308D" w:rsidRDefault="004D308D" w:rsidP="00AB6F24">
      <w:pPr>
        <w:pStyle w:val="ListNumber2"/>
      </w:pPr>
      <w:r>
        <w:t xml:space="preserve">When dealing with hazardous and toxic waste, the current South African legislation and in particular the stipulations contained in the Occupational Health and Safety Act 85 of 1993 with particular reference to hazardous chemical substances, offences and penalties, have to be adhered to.  The Department of Water Affairs also published a report (Second Edition 1998) with regards to the </w:t>
      </w:r>
      <w:r>
        <w:rPr>
          <w:rFonts w:hint="eastAsia"/>
        </w:rPr>
        <w:t>“</w:t>
      </w:r>
      <w:r>
        <w:t>Minimum Requirements for the Handling, Classification and Disposal of Hazardous Waste</w:t>
      </w:r>
      <w:r>
        <w:rPr>
          <w:rFonts w:hint="eastAsia"/>
        </w:rPr>
        <w:t>”</w:t>
      </w:r>
      <w:r>
        <w:t>, which is of major importance when dealing with hazardous waste.</w:t>
      </w:r>
    </w:p>
    <w:p w:rsidR="004D308D" w:rsidRDefault="004D308D" w:rsidP="00AB6F24">
      <w:pPr>
        <w:pStyle w:val="ListNumber2"/>
      </w:pPr>
      <w:r>
        <w:t>If analyses confirm that waste does contain hazardous substances (as listed in SANS 10228-2010</w:t>
      </w:r>
      <w:r w:rsidR="00DA3BBC">
        <w:t>)</w:t>
      </w:r>
      <w:r>
        <w:t>, the producer (originator/generator) must be registered as a Hazardous Waste Generator and determine the relevant minimum requirements.  These could include pre-treatment, destruction, venting, or disposal according to the specific Act.</w:t>
      </w:r>
    </w:p>
    <w:p w:rsidR="004D308D" w:rsidRDefault="004D308D" w:rsidP="00AB6F24">
      <w:pPr>
        <w:pStyle w:val="ListNumber2"/>
      </w:pPr>
      <w:r>
        <w:t>Infectious waste includes medical waste, human tissue, waste from biological research facilities and water analysis laboratories.  Infectious waste can be disposed of by incineration, pre-treatment by sterilization, direct irradiation or micro-waving before land filling.</w:t>
      </w:r>
    </w:p>
    <w:p w:rsidR="004D308D" w:rsidRDefault="004D308D" w:rsidP="00AB6F24">
      <w:pPr>
        <w:pStyle w:val="ListNumber2"/>
      </w:pPr>
      <w:r>
        <w:t>The proper handling and disposal procedure of toxic and hazardous waste is complex, therefore a specialist consultant must be appointed by the civil engineer if necessary, with approval of the Department.</w:t>
      </w:r>
    </w:p>
    <w:p w:rsidR="00C127B9" w:rsidRDefault="004D308D" w:rsidP="00AB6F24">
      <w:pPr>
        <w:pStyle w:val="ListNumber2"/>
      </w:pPr>
      <w:r>
        <w:t>The Engineer shall assist the Department to obtain the necessary licences for all water works and sewage works.</w:t>
      </w:r>
    </w:p>
    <w:p w:rsidR="00085C1D" w:rsidRPr="00355003" w:rsidRDefault="00085C1D" w:rsidP="00B21E05">
      <w:pPr>
        <w:pStyle w:val="Para2"/>
      </w:pPr>
    </w:p>
    <w:sectPr w:rsidR="00085C1D" w:rsidRPr="00355003" w:rsidSect="00DD2A5E">
      <w:pgSz w:w="11906" w:h="16838" w:code="9"/>
      <w:pgMar w:top="1134" w:right="964" w:bottom="964" w:left="1134" w:header="794"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AED" w:rsidRPr="00574129" w:rsidRDefault="00403AED" w:rsidP="00DD2A5E">
      <w:pPr>
        <w:spacing w:before="0" w:after="0"/>
      </w:pPr>
      <w:r>
        <w:separator/>
      </w:r>
    </w:p>
  </w:endnote>
  <w:endnote w:type="continuationSeparator" w:id="0">
    <w:p w:rsidR="00403AED" w:rsidRPr="00574129" w:rsidRDefault="00403AED" w:rsidP="00DD2A5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7" w:rsidRPr="009729A1" w:rsidRDefault="00D86683" w:rsidP="009729A1">
    <w:pPr>
      <w:pStyle w:val="Footer"/>
      <w:tabs>
        <w:tab w:val="clear" w:pos="4153"/>
        <w:tab w:val="clear" w:pos="8306"/>
        <w:tab w:val="clear" w:pos="9752"/>
        <w:tab w:val="right" w:pos="9769"/>
      </w:tabs>
      <w:spacing w:before="60" w:after="0"/>
      <w:ind w:right="-19"/>
      <w:rPr>
        <w:rFonts w:ascii="Arial" w:hAnsi="Arial"/>
        <w:b w:val="0"/>
        <w:i/>
        <w:szCs w:val="16"/>
      </w:rPr>
    </w:pPr>
    <w:r w:rsidRPr="00D86683">
      <w:rPr>
        <w:rFonts w:ascii="Arial" w:hAnsi="Arial"/>
        <w:b w:val="0"/>
      </w:rPr>
      <w:pict>
        <v:rect id="_x0000_i1026" style="width:464.9pt;height:1.5pt" o:hralign="center" o:hrstd="t" o:hrnoshade="t" o:hr="t" fillcolor="black" stroked="f"/>
      </w:pict>
    </w:r>
  </w:p>
  <w:p w:rsidR="00413E07" w:rsidRPr="009729A1" w:rsidRDefault="00413E07" w:rsidP="009729A1">
    <w:pPr>
      <w:pStyle w:val="Footer"/>
      <w:tabs>
        <w:tab w:val="clear" w:pos="4153"/>
        <w:tab w:val="clear" w:pos="8306"/>
      </w:tabs>
      <w:spacing w:before="60" w:after="0"/>
      <w:ind w:right="-625"/>
      <w:rPr>
        <w:rFonts w:ascii="Arial" w:hAnsi="Arial"/>
        <w:b w:val="0"/>
        <w:i/>
        <w:sz w:val="16"/>
        <w:szCs w:val="16"/>
      </w:rPr>
    </w:pPr>
    <w:r>
      <w:rPr>
        <w:rFonts w:ascii="Arial" w:hAnsi="Arial"/>
        <w:b w:val="0"/>
        <w:i/>
        <w:sz w:val="16"/>
        <w:szCs w:val="16"/>
      </w:rPr>
      <w:t>CIVIL ENGINEERING MANUAL 2012</w:t>
    </w:r>
    <w:r w:rsidRPr="009729A1">
      <w:rPr>
        <w:rFonts w:ascii="Arial" w:hAnsi="Arial"/>
        <w:b w:val="0"/>
        <w:i/>
        <w:sz w:val="16"/>
        <w:szCs w:val="16"/>
      </w:rPr>
      <w:tab/>
      <w:t xml:space="preserve">Page </w:t>
    </w:r>
    <w:r>
      <w:rPr>
        <w:rFonts w:ascii="Arial" w:hAnsi="Arial"/>
        <w:b w:val="0"/>
        <w:i/>
        <w:sz w:val="16"/>
        <w:szCs w:val="16"/>
      </w:rPr>
      <w:t>F</w:t>
    </w:r>
    <w:r w:rsidRPr="009729A1">
      <w:rPr>
        <w:rFonts w:ascii="Arial" w:hAnsi="Arial"/>
        <w:b w:val="0"/>
        <w:i/>
        <w:sz w:val="16"/>
        <w:szCs w:val="16"/>
      </w:rPr>
      <w:t>.</w:t>
    </w:r>
    <w:r w:rsidR="00D86683" w:rsidRPr="009729A1">
      <w:rPr>
        <w:rFonts w:ascii="Arial" w:hAnsi="Arial"/>
        <w:b w:val="0"/>
        <w:i/>
        <w:sz w:val="16"/>
        <w:szCs w:val="16"/>
      </w:rPr>
      <w:fldChar w:fldCharType="begin"/>
    </w:r>
    <w:r w:rsidRPr="009729A1">
      <w:rPr>
        <w:rFonts w:ascii="Arial" w:hAnsi="Arial"/>
        <w:b w:val="0"/>
        <w:i/>
        <w:sz w:val="16"/>
        <w:szCs w:val="16"/>
      </w:rPr>
      <w:instrText xml:space="preserve"> PAGE   \* MERGEFORMAT </w:instrText>
    </w:r>
    <w:r w:rsidR="00D86683" w:rsidRPr="009729A1">
      <w:rPr>
        <w:rFonts w:ascii="Arial" w:hAnsi="Arial"/>
        <w:b w:val="0"/>
        <w:i/>
        <w:sz w:val="16"/>
        <w:szCs w:val="16"/>
      </w:rPr>
      <w:fldChar w:fldCharType="separate"/>
    </w:r>
    <w:r w:rsidR="00277C17">
      <w:rPr>
        <w:rFonts w:ascii="Arial" w:hAnsi="Arial"/>
        <w:b w:val="0"/>
        <w:i/>
        <w:noProof/>
        <w:sz w:val="16"/>
        <w:szCs w:val="16"/>
      </w:rPr>
      <w:t>1</w:t>
    </w:r>
    <w:r w:rsidR="00D86683" w:rsidRPr="009729A1">
      <w:rPr>
        <w:rFonts w:ascii="Arial" w:hAnsi="Arial"/>
        <w:b w:val="0"/>
        <w: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AED" w:rsidRPr="00574129" w:rsidRDefault="00403AED" w:rsidP="00DD2A5E">
      <w:pPr>
        <w:spacing w:before="0" w:after="0"/>
      </w:pPr>
      <w:r>
        <w:separator/>
      </w:r>
    </w:p>
  </w:footnote>
  <w:footnote w:type="continuationSeparator" w:id="0">
    <w:p w:rsidR="00403AED" w:rsidRPr="00574129" w:rsidRDefault="00403AED" w:rsidP="00DD2A5E">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7" w:rsidRPr="00801E34" w:rsidRDefault="00413E07" w:rsidP="00801E34">
    <w:pPr>
      <w:pStyle w:val="Header"/>
      <w:tabs>
        <w:tab w:val="clear" w:pos="4153"/>
        <w:tab w:val="clear" w:pos="8306"/>
      </w:tabs>
      <w:spacing w:before="60"/>
      <w:rPr>
        <w:rFonts w:ascii="Arial" w:hAnsi="Arial"/>
        <w:b w:val="0"/>
        <w:i/>
        <w:sz w:val="16"/>
        <w:szCs w:val="16"/>
      </w:rPr>
    </w:pPr>
    <w:r w:rsidRPr="00801E34">
      <w:rPr>
        <w:rFonts w:ascii="Arial" w:hAnsi="Arial"/>
        <w:b w:val="0"/>
        <w:i/>
        <w:noProof/>
        <w:lang w:val="en-ZA" w:eastAsia="en-ZA"/>
      </w:rPr>
      <w:drawing>
        <wp:anchor distT="0" distB="0" distL="114300" distR="114300" simplePos="0" relativeHeight="251659264" behindDoc="1" locked="0" layoutInCell="1" allowOverlap="1">
          <wp:simplePos x="0" y="0"/>
          <wp:positionH relativeFrom="column">
            <wp:posOffset>-13335</wp:posOffset>
          </wp:positionH>
          <wp:positionV relativeFrom="paragraph">
            <wp:posOffset>-193040</wp:posOffset>
          </wp:positionV>
          <wp:extent cx="1495425" cy="552450"/>
          <wp:effectExtent l="19050" t="0" r="9525" b="0"/>
          <wp:wrapTight wrapText="bothSides">
            <wp:wrapPolygon edited="0">
              <wp:start x="-275" y="0"/>
              <wp:lineTo x="-275" y="20855"/>
              <wp:lineTo x="21738" y="20855"/>
              <wp:lineTo x="21738" y="0"/>
              <wp:lineTo x="-275" y="0"/>
            </wp:wrapPolygon>
          </wp:wrapTight>
          <wp:docPr id="24"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pic:spPr>
              </pic:pic>
            </a:graphicData>
          </a:graphic>
        </wp:anchor>
      </w:drawing>
    </w:r>
    <w:r w:rsidRPr="00801E34">
      <w:rPr>
        <w:rFonts w:ascii="Arial" w:hAnsi="Arial"/>
        <w:b w:val="0"/>
        <w:i/>
        <w:sz w:val="16"/>
        <w:szCs w:val="16"/>
      </w:rPr>
      <w:tab/>
      <w:t>SECTION F:  DESIGN GUIDE</w:t>
    </w:r>
  </w:p>
  <w:p w:rsidR="00413E07" w:rsidRPr="00801E34" w:rsidRDefault="00D86683" w:rsidP="00801E34">
    <w:pPr>
      <w:pStyle w:val="Header"/>
      <w:ind w:right="-17"/>
      <w:rPr>
        <w:rFonts w:ascii="Arial" w:hAnsi="Arial"/>
        <w:b w:val="0"/>
      </w:rPr>
    </w:pPr>
    <w:r w:rsidRPr="00D86683">
      <w:rPr>
        <w:rFonts w:ascii="Arial" w:hAnsi="Arial"/>
        <w:b w:val="0"/>
      </w:rPr>
      <w:pict>
        <v:rect id="_x0000_i1025" style="width:464.9pt;height:1.5pt" o:hralign="center" o:hrstd="t" o:hrnoshade="t" o:hr="t" fillcolor="black"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E20F80"/>
    <w:lvl w:ilvl="0">
      <w:start w:val="1"/>
      <w:numFmt w:val="decimal"/>
      <w:lvlText w:val="%1."/>
      <w:lvlJc w:val="left"/>
      <w:pPr>
        <w:tabs>
          <w:tab w:val="num" w:pos="1492"/>
        </w:tabs>
        <w:ind w:left="1492" w:hanging="360"/>
      </w:pPr>
    </w:lvl>
  </w:abstractNum>
  <w:abstractNum w:abstractNumId="1">
    <w:nsid w:val="FFFFFF7D"/>
    <w:multiLevelType w:val="singleLevel"/>
    <w:tmpl w:val="87649CC4"/>
    <w:lvl w:ilvl="0">
      <w:start w:val="1"/>
      <w:numFmt w:val="decimal"/>
      <w:lvlText w:val="%1."/>
      <w:lvlJc w:val="left"/>
      <w:pPr>
        <w:tabs>
          <w:tab w:val="num" w:pos="1209"/>
        </w:tabs>
        <w:ind w:left="1209" w:hanging="360"/>
      </w:pPr>
    </w:lvl>
  </w:abstractNum>
  <w:abstractNum w:abstractNumId="2">
    <w:nsid w:val="FFFFFF7E"/>
    <w:multiLevelType w:val="singleLevel"/>
    <w:tmpl w:val="D6F62A16"/>
    <w:lvl w:ilvl="0">
      <w:start w:val="1"/>
      <w:numFmt w:val="decimal"/>
      <w:lvlText w:val="%1."/>
      <w:lvlJc w:val="left"/>
      <w:pPr>
        <w:tabs>
          <w:tab w:val="num" w:pos="926"/>
        </w:tabs>
        <w:ind w:left="926" w:hanging="360"/>
      </w:pPr>
    </w:lvl>
  </w:abstractNum>
  <w:abstractNum w:abstractNumId="3">
    <w:nsid w:val="FFFFFF7F"/>
    <w:multiLevelType w:val="singleLevel"/>
    <w:tmpl w:val="30A80A1E"/>
    <w:lvl w:ilvl="0">
      <w:start w:val="1"/>
      <w:numFmt w:val="decimal"/>
      <w:lvlText w:val="%1."/>
      <w:lvlJc w:val="left"/>
      <w:pPr>
        <w:tabs>
          <w:tab w:val="num" w:pos="643"/>
        </w:tabs>
        <w:ind w:left="643" w:hanging="360"/>
      </w:pPr>
    </w:lvl>
  </w:abstractNum>
  <w:abstractNum w:abstractNumId="4">
    <w:nsid w:val="FFFFFF80"/>
    <w:multiLevelType w:val="singleLevel"/>
    <w:tmpl w:val="8570C2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530497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7855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B67F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F6562C"/>
    <w:lvl w:ilvl="0">
      <w:start w:val="1"/>
      <w:numFmt w:val="decimal"/>
      <w:lvlText w:val="%1."/>
      <w:lvlJc w:val="left"/>
      <w:pPr>
        <w:tabs>
          <w:tab w:val="num" w:pos="360"/>
        </w:tabs>
        <w:ind w:left="360" w:hanging="360"/>
      </w:pPr>
    </w:lvl>
  </w:abstractNum>
  <w:abstractNum w:abstractNumId="9">
    <w:nsid w:val="FFFFFF89"/>
    <w:multiLevelType w:val="singleLevel"/>
    <w:tmpl w:val="EA1E3DE0"/>
    <w:lvl w:ilvl="0">
      <w:start w:val="1"/>
      <w:numFmt w:val="bullet"/>
      <w:lvlText w:val=""/>
      <w:lvlJc w:val="left"/>
      <w:pPr>
        <w:tabs>
          <w:tab w:val="num" w:pos="360"/>
        </w:tabs>
        <w:ind w:left="360" w:hanging="360"/>
      </w:pPr>
      <w:rPr>
        <w:rFonts w:ascii="Symbol" w:hAnsi="Symbol" w:hint="default"/>
      </w:rPr>
    </w:lvl>
  </w:abstractNum>
  <w:abstractNum w:abstractNumId="10">
    <w:nsid w:val="04834FF4"/>
    <w:multiLevelType w:val="multilevel"/>
    <w:tmpl w:val="1C728AFA"/>
    <w:styleLink w:val="Numbers"/>
    <w:lvl w:ilvl="0">
      <w:start w:val="1"/>
      <w:numFmt w:val="decimal"/>
      <w:lvlText w:val="%1."/>
      <w:lvlJc w:val="left"/>
      <w:pPr>
        <w:ind w:left="992" w:hanging="283"/>
      </w:pPr>
      <w:rPr>
        <w:rFonts w:ascii="Arial Bold" w:hAnsi="Arial Bold"/>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49F07D1"/>
    <w:multiLevelType w:val="multilevel"/>
    <w:tmpl w:val="F762F502"/>
    <w:styleLink w:val="Style2"/>
    <w:lvl w:ilvl="0">
      <w:start w:val="1"/>
      <w:numFmt w:val="decimal"/>
      <w:lvlText w:val="%1)"/>
      <w:lvlJc w:val="left"/>
      <w:pPr>
        <w:ind w:left="709" w:hanging="709"/>
      </w:pPr>
      <w:rPr>
        <w:rFonts w:hint="default"/>
      </w:rPr>
    </w:lvl>
    <w:lvl w:ilvl="1">
      <w:start w:val="1"/>
      <w:numFmt w:val="lowerLetter"/>
      <w:lvlText w:val="%2)"/>
      <w:lvlJc w:val="left"/>
      <w:pPr>
        <w:ind w:left="709" w:hanging="709"/>
      </w:pPr>
      <w:rPr>
        <w:rFonts w:hint="default"/>
      </w:rPr>
    </w:lvl>
    <w:lvl w:ilvl="2">
      <w:start w:val="1"/>
      <w:numFmt w:val="lowerRoman"/>
      <w:lvlText w:val="%3)"/>
      <w:lvlJc w:val="lef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2">
    <w:nsid w:val="080A0A46"/>
    <w:multiLevelType w:val="hybridMultilevel"/>
    <w:tmpl w:val="B38C6F46"/>
    <w:lvl w:ilvl="0" w:tplc="520C24EE">
      <w:start w:val="1"/>
      <w:numFmt w:val="bullet"/>
      <w:pStyle w:val="Bullets1-Paragraph"/>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13">
    <w:nsid w:val="159E0C70"/>
    <w:multiLevelType w:val="multilevel"/>
    <w:tmpl w:val="29983644"/>
    <w:styleLink w:val="Heading2Numbering"/>
    <w:lvl w:ilvl="0">
      <w:start w:val="4"/>
      <w:numFmt w:val="decimal"/>
      <w:lvlText w:val="%1."/>
      <w:lvlJc w:val="left"/>
      <w:pPr>
        <w:ind w:left="360" w:hanging="360"/>
      </w:pPr>
      <w:rPr>
        <w:rFonts w:hint="default"/>
      </w:rPr>
    </w:lvl>
    <w:lvl w:ilvl="1">
      <w:start w:val="1"/>
      <w:numFmt w:val="decimal"/>
      <w:lvlText w:val="4.%2."/>
      <w:lvlJc w:val="left"/>
      <w:pPr>
        <w:ind w:left="709" w:hanging="349"/>
      </w:pPr>
      <w:rPr>
        <w:rFonts w:ascii="Arial" w:hAnsi="Arial"/>
        <w:color w:val="auto"/>
        <w:sz w:val="22"/>
        <w:u w:val="none"/>
      </w:rPr>
    </w:lvl>
    <w:lvl w:ilvl="2">
      <w:start w:val="1"/>
      <w:numFmt w:val="decimal"/>
      <w:lvlText w:val="%1.%2.%3."/>
      <w:lvlJc w:val="left"/>
      <w:pPr>
        <w:ind w:left="1224" w:hanging="504"/>
      </w:pPr>
      <w:rPr>
        <w:rFonts w:hint="default"/>
      </w:rPr>
    </w:lvl>
    <w:lvl w:ilvl="3">
      <w:start w:val="1"/>
      <w:numFmt w:val="decimal"/>
      <w:lvlText w:val="%2%1..%3.%4."/>
      <w:lvlJc w:val="left"/>
      <w:pPr>
        <w:ind w:left="709" w:hanging="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C8B3BE9"/>
    <w:multiLevelType w:val="multilevel"/>
    <w:tmpl w:val="6768978E"/>
    <w:styleLink w:val="ListNumber-Civ"/>
    <w:lvl w:ilvl="0">
      <w:start w:val="1"/>
      <w:numFmt w:val="decimal"/>
      <w:pStyle w:val="ListNumber"/>
      <w:lvlText w:val="F.%1"/>
      <w:lvlJc w:val="left"/>
      <w:pPr>
        <w:ind w:left="709" w:hanging="709"/>
      </w:pPr>
      <w:rPr>
        <w:rFonts w:ascii="Arial" w:hAnsi="Arial" w:hint="default"/>
        <w:sz w:val="24"/>
      </w:rPr>
    </w:lvl>
    <w:lvl w:ilvl="1">
      <w:start w:val="1"/>
      <w:numFmt w:val="decimal"/>
      <w:pStyle w:val="ListNumber2"/>
      <w:lvlText w:val="%1.%2"/>
      <w:lvlJc w:val="left"/>
      <w:pPr>
        <w:ind w:left="709" w:hanging="709"/>
      </w:pPr>
      <w:rPr>
        <w:rFonts w:ascii="Arial" w:hAnsi="Arial" w:hint="default"/>
        <w:sz w:val="22"/>
      </w:rPr>
    </w:lvl>
    <w:lvl w:ilvl="2">
      <w:start w:val="1"/>
      <w:numFmt w:val="decimal"/>
      <w:pStyle w:val="ListNumber3"/>
      <w:lvlText w:val="%1.%2.%3"/>
      <w:lvlJc w:val="left"/>
      <w:pPr>
        <w:ind w:left="992" w:hanging="992"/>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5">
    <w:nsid w:val="27744FF6"/>
    <w:multiLevelType w:val="hybridMultilevel"/>
    <w:tmpl w:val="23166C0E"/>
    <w:lvl w:ilvl="0" w:tplc="57526AB6">
      <w:numFmt w:val="bullet"/>
      <w:pStyle w:val="MSBullets2"/>
      <w:lvlText w:val="-"/>
      <w:lvlJc w:val="left"/>
      <w:pPr>
        <w:ind w:left="1494" w:hanging="360"/>
      </w:pPr>
      <w:rPr>
        <w:rFonts w:ascii="Arial" w:eastAsia="Times New Roman"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nsid w:val="2E9C5800"/>
    <w:multiLevelType w:val="multilevel"/>
    <w:tmpl w:val="0C50B868"/>
    <w:lvl w:ilvl="0">
      <w:start w:val="1"/>
      <w:numFmt w:val="decimal"/>
      <w:lvlText w:val="%1."/>
      <w:lvlJc w:val="left"/>
      <w:pPr>
        <w:ind w:left="709" w:hanging="709"/>
      </w:pPr>
      <w:rPr>
        <w:rFonts w:hint="default"/>
      </w:rPr>
    </w:lvl>
    <w:lvl w:ilvl="1">
      <w:start w:val="1"/>
      <w:numFmt w:val="decimal"/>
      <w:lvlRestart w:val="0"/>
      <w:pStyle w:val="MSHeading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7">
    <w:nsid w:val="362E4D5F"/>
    <w:multiLevelType w:val="multilevel"/>
    <w:tmpl w:val="D80AB432"/>
    <w:numStyleLink w:val="Style1"/>
  </w:abstractNum>
  <w:abstractNum w:abstractNumId="18">
    <w:nsid w:val="3BAE3847"/>
    <w:multiLevelType w:val="hybridMultilevel"/>
    <w:tmpl w:val="6F823694"/>
    <w:lvl w:ilvl="0" w:tplc="01BCEE02">
      <w:start w:val="1"/>
      <w:numFmt w:val="bullet"/>
      <w:pStyle w:val="MSBullets1"/>
      <w:lvlText w:val=""/>
      <w:lvlJc w:val="left"/>
      <w:pPr>
        <w:ind w:left="106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3B5EA6"/>
    <w:multiLevelType w:val="multilevel"/>
    <w:tmpl w:val="AE7EA398"/>
    <w:styleLink w:val="H1Numbers"/>
    <w:lvl w:ilvl="0">
      <w:start w:val="1"/>
      <w:numFmt w:val="decimal"/>
      <w:pStyle w:val="H1NumberList"/>
      <w:lvlText w:val="%1.0"/>
      <w:lvlJc w:val="left"/>
      <w:pPr>
        <w:ind w:left="709" w:hanging="709"/>
      </w:pPr>
      <w:rPr>
        <w:rFonts w:ascii="Arial" w:hAnsi="Arial" w:hint="default"/>
        <w:b/>
        <w:sz w:val="24"/>
      </w:rPr>
    </w:lvl>
    <w:lvl w:ilvl="1">
      <w:start w:val="1"/>
      <w:numFmt w:val="lowerLetter"/>
      <w:lvlText w:val="%2."/>
      <w:lvlJc w:val="left"/>
      <w:pPr>
        <w:ind w:left="709" w:hanging="709"/>
      </w:pPr>
      <w:rPr>
        <w:rFonts w:hint="default"/>
      </w:rPr>
    </w:lvl>
    <w:lvl w:ilvl="2">
      <w:start w:val="1"/>
      <w:numFmt w:val="lowerRoman"/>
      <w:lvlText w:val="%3."/>
      <w:lvlJc w:val="righ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20">
    <w:nsid w:val="4A137E7E"/>
    <w:multiLevelType w:val="multilevel"/>
    <w:tmpl w:val="11FE8016"/>
    <w:styleLink w:val="HS1Numbers"/>
    <w:lvl w:ilvl="0">
      <w:start w:val="1"/>
      <w:numFmt w:val="decimal"/>
      <w:lvlText w:val="%1."/>
      <w:lvlJc w:val="left"/>
      <w:pPr>
        <w:ind w:left="709" w:hanging="709"/>
      </w:pPr>
      <w:rPr>
        <w:rFonts w:ascii="Arial" w:hAnsi="Arial" w:hint="default"/>
        <w:b/>
        <w:sz w:val="24"/>
      </w:rPr>
    </w:lvl>
    <w:lvl w:ilvl="1">
      <w:start w:val="1"/>
      <w:numFmt w:val="decimal"/>
      <w:lvlText w:val="%1.%2"/>
      <w:lvlJc w:val="left"/>
      <w:pPr>
        <w:ind w:left="709" w:hanging="709"/>
      </w:pPr>
      <w:rPr>
        <w:rFonts w:ascii="Arial" w:hAnsi="Arial" w:hint="default"/>
        <w:b/>
        <w:sz w:val="24"/>
      </w:rPr>
    </w:lvl>
    <w:lvl w:ilvl="2">
      <w:start w:val="1"/>
      <w:numFmt w:val="decimal"/>
      <w:lvlText w:val="%1.%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1">
    <w:nsid w:val="4C2269ED"/>
    <w:multiLevelType w:val="multilevel"/>
    <w:tmpl w:val="D80AB432"/>
    <w:styleLink w:val="Style1"/>
    <w:lvl w:ilvl="0">
      <w:start w:val="1"/>
      <w:numFmt w:val="decimal"/>
      <w:lvlText w:val="%1)"/>
      <w:lvlJc w:val="left"/>
      <w:pPr>
        <w:tabs>
          <w:tab w:val="num" w:pos="425"/>
        </w:tabs>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6EE2784"/>
    <w:multiLevelType w:val="multilevel"/>
    <w:tmpl w:val="77683AE2"/>
    <w:lvl w:ilvl="0">
      <w:start w:val="1"/>
      <w:numFmt w:val="upperLetter"/>
      <w:pStyle w:val="SH1"/>
      <w:lvlText w:val="%1."/>
      <w:lvlJc w:val="left"/>
      <w:pPr>
        <w:tabs>
          <w:tab w:val="num" w:pos="432"/>
        </w:tabs>
        <w:ind w:left="432" w:hanging="432"/>
      </w:pPr>
      <w:rPr>
        <w:rFonts w:ascii="Arial" w:hAnsi="Arial" w:hint="default"/>
        <w:b/>
        <w:i w:val="0"/>
        <w:caps/>
        <w:sz w:val="20"/>
        <w:u w:val="none"/>
      </w:rPr>
    </w:lvl>
    <w:lvl w:ilvl="1">
      <w:start w:val="1"/>
      <w:numFmt w:val="decimal"/>
      <w:pStyle w:val="Heading2"/>
      <w:lvlText w:val="%1.%2"/>
      <w:lvlJc w:val="left"/>
      <w:pPr>
        <w:tabs>
          <w:tab w:val="num" w:pos="860"/>
        </w:tabs>
        <w:ind w:left="860" w:hanging="680"/>
      </w:pPr>
      <w:rPr>
        <w:rFonts w:hint="default"/>
        <w:color w:val="000000"/>
      </w:rPr>
    </w:lvl>
    <w:lvl w:ilvl="2">
      <w:start w:val="1"/>
      <w:numFmt w:val="decimal"/>
      <w:pStyle w:val="Heading3"/>
      <w:lvlText w:val="%1.%2.%3"/>
      <w:lvlJc w:val="left"/>
      <w:pPr>
        <w:tabs>
          <w:tab w:val="num" w:pos="1440"/>
        </w:tabs>
        <w:ind w:left="1440" w:hanging="720"/>
      </w:pPr>
      <w:rPr>
        <w:rFonts w:hint="default"/>
      </w:rPr>
    </w:lvl>
    <w:lvl w:ilvl="3">
      <w:start w:val="1"/>
      <w:numFmt w:val="decimal"/>
      <w:pStyle w:val="Heading4"/>
      <w:lvlText w:val="%1.%2.%3.%4"/>
      <w:lvlJc w:val="left"/>
      <w:pPr>
        <w:tabs>
          <w:tab w:val="num" w:pos="864"/>
        </w:tabs>
        <w:ind w:left="864" w:hanging="864"/>
      </w:pPr>
      <w:rPr>
        <w:rFonts w:hint="default"/>
        <w:color w:val="FF000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color w:val="FF000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08100E1"/>
    <w:multiLevelType w:val="hybridMultilevel"/>
    <w:tmpl w:val="0FC8B8D6"/>
    <w:lvl w:ilvl="0" w:tplc="9EE2B0A6">
      <w:start w:val="1"/>
      <w:numFmt w:val="decimal"/>
      <w:pStyle w:val="MSHeading1"/>
      <w:lvlText w:val="%1.0"/>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nsid w:val="6A08083F"/>
    <w:multiLevelType w:val="multilevel"/>
    <w:tmpl w:val="F762F502"/>
    <w:numStyleLink w:val="Style2"/>
  </w:abstractNum>
  <w:num w:numId="1">
    <w:abstractNumId w:val="13"/>
  </w:num>
  <w:num w:numId="2">
    <w:abstractNumId w:val="22"/>
  </w:num>
  <w:num w:numId="3">
    <w:abstractNumId w:val="22"/>
  </w:num>
  <w:num w:numId="4">
    <w:abstractNumId w:val="22"/>
  </w:num>
  <w:num w:numId="5">
    <w:abstractNumId w:val="22"/>
  </w:num>
  <w:num w:numId="6">
    <w:abstractNumId w:val="22"/>
  </w:num>
  <w:num w:numId="7">
    <w:abstractNumId w:val="8"/>
  </w:num>
  <w:num w:numId="8">
    <w:abstractNumId w:val="20"/>
  </w:num>
  <w:num w:numId="9">
    <w:abstractNumId w:val="3"/>
  </w:num>
  <w:num w:numId="10">
    <w:abstractNumId w:val="20"/>
  </w:num>
  <w:num w:numId="11">
    <w:abstractNumId w:val="2"/>
  </w:num>
  <w:num w:numId="12">
    <w:abstractNumId w:val="20"/>
  </w:num>
  <w:num w:numId="13">
    <w:abstractNumId w:val="22"/>
  </w:num>
  <w:num w:numId="14">
    <w:abstractNumId w:val="23"/>
  </w:num>
  <w:num w:numId="15">
    <w:abstractNumId w:val="18"/>
  </w:num>
  <w:num w:numId="16">
    <w:abstractNumId w:val="15"/>
  </w:num>
  <w:num w:numId="17">
    <w:abstractNumId w:val="16"/>
  </w:num>
  <w:num w:numId="18">
    <w:abstractNumId w:val="13"/>
  </w:num>
  <w:num w:numId="19">
    <w:abstractNumId w:val="19"/>
  </w:num>
  <w:num w:numId="20">
    <w:abstractNumId w:val="20"/>
  </w:num>
  <w:num w:numId="21">
    <w:abstractNumId w:val="19"/>
  </w:num>
  <w:num w:numId="22">
    <w:abstractNumId w:val="10"/>
  </w:num>
  <w:num w:numId="23">
    <w:abstractNumId w:val="21"/>
  </w:num>
  <w:num w:numId="24">
    <w:abstractNumId w:val="17"/>
  </w:num>
  <w:num w:numId="25">
    <w:abstractNumId w:val="11"/>
  </w:num>
  <w:num w:numId="26">
    <w:abstractNumId w:val="24"/>
  </w:num>
  <w:num w:numId="27">
    <w:abstractNumId w:val="7"/>
  </w:num>
  <w:num w:numId="28">
    <w:abstractNumId w:val="6"/>
  </w:num>
  <w:num w:numId="29">
    <w:abstractNumId w:val="5"/>
  </w:num>
  <w:num w:numId="30">
    <w:abstractNumId w:val="4"/>
  </w:num>
  <w:num w:numId="31">
    <w:abstractNumId w:val="1"/>
  </w:num>
  <w:num w:numId="32">
    <w:abstractNumId w:val="0"/>
  </w:num>
  <w:num w:numId="33">
    <w:abstractNumId w:val="14"/>
  </w:num>
  <w:num w:numId="34">
    <w:abstractNumId w:val="9"/>
  </w:num>
  <w:num w:numId="35">
    <w:abstractNumId w:val="12"/>
  </w:num>
  <w:num w:numId="36">
    <w:abstractNumId w:val="14"/>
  </w:num>
  <w:num w:numId="37">
    <w:abstractNumId w:val="12"/>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stylePaneFormatFilter w:val="1028"/>
  <w:stylePaneSortMethod w:val="0000"/>
  <w:documentProtection w:edit="readOnly" w:enforcement="1" w:cryptProviderType="rsaFull" w:cryptAlgorithmClass="hash" w:cryptAlgorithmType="typeAny" w:cryptAlgorithmSid="4" w:cryptSpinCount="100000" w:hash="CDbKBr2CRPouDvSBjQYa1m37ViA=" w:salt="x/kg0T5XwtE7uIXXOKUuAw=="/>
  <w:defaultTabStop w:val="709"/>
  <w:drawingGridHorizontalSpacing w:val="120"/>
  <w:displayHorizontalDrawingGridEvery w:val="2"/>
  <w:characterSpacingControl w:val="doNotCompress"/>
  <w:hdrShapeDefaults>
    <o:shapedefaults v:ext="edit" spidmax="6147"/>
  </w:hdrShapeDefaults>
  <w:footnotePr>
    <w:footnote w:id="-1"/>
    <w:footnote w:id="0"/>
  </w:footnotePr>
  <w:endnotePr>
    <w:endnote w:id="-1"/>
    <w:endnote w:id="0"/>
  </w:endnotePr>
  <w:compat/>
  <w:rsids>
    <w:rsidRoot w:val="00C50553"/>
    <w:rsid w:val="00010B85"/>
    <w:rsid w:val="000216CD"/>
    <w:rsid w:val="0003324C"/>
    <w:rsid w:val="00044FBF"/>
    <w:rsid w:val="0004711D"/>
    <w:rsid w:val="00055870"/>
    <w:rsid w:val="00055B35"/>
    <w:rsid w:val="00066DC9"/>
    <w:rsid w:val="00072FC8"/>
    <w:rsid w:val="00075AC7"/>
    <w:rsid w:val="00085C1D"/>
    <w:rsid w:val="000A5412"/>
    <w:rsid w:val="000A78FD"/>
    <w:rsid w:val="000B2F30"/>
    <w:rsid w:val="000D7952"/>
    <w:rsid w:val="000E1272"/>
    <w:rsid w:val="000E79EF"/>
    <w:rsid w:val="000F6B21"/>
    <w:rsid w:val="00140952"/>
    <w:rsid w:val="00141487"/>
    <w:rsid w:val="00180C5C"/>
    <w:rsid w:val="001C1A00"/>
    <w:rsid w:val="001C20C2"/>
    <w:rsid w:val="001C4422"/>
    <w:rsid w:val="00221811"/>
    <w:rsid w:val="00240920"/>
    <w:rsid w:val="0024237C"/>
    <w:rsid w:val="00272B5A"/>
    <w:rsid w:val="00277C17"/>
    <w:rsid w:val="002B501D"/>
    <w:rsid w:val="002C146F"/>
    <w:rsid w:val="002E3CE9"/>
    <w:rsid w:val="00302798"/>
    <w:rsid w:val="00345010"/>
    <w:rsid w:val="00355003"/>
    <w:rsid w:val="00382B6B"/>
    <w:rsid w:val="003B00C2"/>
    <w:rsid w:val="003B37CE"/>
    <w:rsid w:val="003C4D29"/>
    <w:rsid w:val="003C5823"/>
    <w:rsid w:val="003F2F89"/>
    <w:rsid w:val="003F6E47"/>
    <w:rsid w:val="00403AED"/>
    <w:rsid w:val="00413E07"/>
    <w:rsid w:val="00417B2B"/>
    <w:rsid w:val="0043212F"/>
    <w:rsid w:val="0044305C"/>
    <w:rsid w:val="004A1775"/>
    <w:rsid w:val="004D0105"/>
    <w:rsid w:val="004D308D"/>
    <w:rsid w:val="004E7C22"/>
    <w:rsid w:val="005461C4"/>
    <w:rsid w:val="00553B5B"/>
    <w:rsid w:val="00560DAB"/>
    <w:rsid w:val="0056594D"/>
    <w:rsid w:val="00582987"/>
    <w:rsid w:val="00594A2E"/>
    <w:rsid w:val="005C494E"/>
    <w:rsid w:val="005D1B49"/>
    <w:rsid w:val="005E27A5"/>
    <w:rsid w:val="00600EF7"/>
    <w:rsid w:val="00610B67"/>
    <w:rsid w:val="006343DE"/>
    <w:rsid w:val="00634F34"/>
    <w:rsid w:val="00660836"/>
    <w:rsid w:val="00663DFA"/>
    <w:rsid w:val="00664198"/>
    <w:rsid w:val="00695D3D"/>
    <w:rsid w:val="006A350F"/>
    <w:rsid w:val="006C33E6"/>
    <w:rsid w:val="006C601A"/>
    <w:rsid w:val="006F2CFF"/>
    <w:rsid w:val="00703261"/>
    <w:rsid w:val="0073357B"/>
    <w:rsid w:val="00737FE6"/>
    <w:rsid w:val="00742942"/>
    <w:rsid w:val="00770901"/>
    <w:rsid w:val="007B07DF"/>
    <w:rsid w:val="007C5DEC"/>
    <w:rsid w:val="00801E34"/>
    <w:rsid w:val="00807465"/>
    <w:rsid w:val="0082769E"/>
    <w:rsid w:val="00830CAD"/>
    <w:rsid w:val="00874E85"/>
    <w:rsid w:val="00877398"/>
    <w:rsid w:val="008B065F"/>
    <w:rsid w:val="008C5580"/>
    <w:rsid w:val="008D14E8"/>
    <w:rsid w:val="008E2274"/>
    <w:rsid w:val="00900568"/>
    <w:rsid w:val="00937F84"/>
    <w:rsid w:val="009729A1"/>
    <w:rsid w:val="00977B6D"/>
    <w:rsid w:val="009846BD"/>
    <w:rsid w:val="009868BD"/>
    <w:rsid w:val="00997C37"/>
    <w:rsid w:val="009A19AD"/>
    <w:rsid w:val="009A3C73"/>
    <w:rsid w:val="009D4CAE"/>
    <w:rsid w:val="009E602A"/>
    <w:rsid w:val="009E7620"/>
    <w:rsid w:val="009F055E"/>
    <w:rsid w:val="009F6878"/>
    <w:rsid w:val="00A0626C"/>
    <w:rsid w:val="00A42489"/>
    <w:rsid w:val="00AB6F24"/>
    <w:rsid w:val="00AB773C"/>
    <w:rsid w:val="00AB7772"/>
    <w:rsid w:val="00AD4C63"/>
    <w:rsid w:val="00AE6856"/>
    <w:rsid w:val="00B017FB"/>
    <w:rsid w:val="00B039A1"/>
    <w:rsid w:val="00B0495F"/>
    <w:rsid w:val="00B21E05"/>
    <w:rsid w:val="00B36F56"/>
    <w:rsid w:val="00B51858"/>
    <w:rsid w:val="00B706E6"/>
    <w:rsid w:val="00B74067"/>
    <w:rsid w:val="00B83E05"/>
    <w:rsid w:val="00B86584"/>
    <w:rsid w:val="00B86FB6"/>
    <w:rsid w:val="00B960BA"/>
    <w:rsid w:val="00BA507B"/>
    <w:rsid w:val="00BB1DF4"/>
    <w:rsid w:val="00C014CF"/>
    <w:rsid w:val="00C0217D"/>
    <w:rsid w:val="00C127B9"/>
    <w:rsid w:val="00C1787E"/>
    <w:rsid w:val="00C2260C"/>
    <w:rsid w:val="00C230E4"/>
    <w:rsid w:val="00C43632"/>
    <w:rsid w:val="00C45A46"/>
    <w:rsid w:val="00C50553"/>
    <w:rsid w:val="00C61741"/>
    <w:rsid w:val="00C86AB5"/>
    <w:rsid w:val="00C93959"/>
    <w:rsid w:val="00C95F95"/>
    <w:rsid w:val="00CA5EF4"/>
    <w:rsid w:val="00CC7B9A"/>
    <w:rsid w:val="00CF286A"/>
    <w:rsid w:val="00D05C12"/>
    <w:rsid w:val="00D15036"/>
    <w:rsid w:val="00D16CE0"/>
    <w:rsid w:val="00D404FA"/>
    <w:rsid w:val="00D43EB8"/>
    <w:rsid w:val="00D65406"/>
    <w:rsid w:val="00D8177D"/>
    <w:rsid w:val="00D86683"/>
    <w:rsid w:val="00D90219"/>
    <w:rsid w:val="00DA3BBC"/>
    <w:rsid w:val="00DB1448"/>
    <w:rsid w:val="00DB26D0"/>
    <w:rsid w:val="00DC3E2D"/>
    <w:rsid w:val="00DD2A5E"/>
    <w:rsid w:val="00DD5C52"/>
    <w:rsid w:val="00DE32C6"/>
    <w:rsid w:val="00DE6E1B"/>
    <w:rsid w:val="00DF00BF"/>
    <w:rsid w:val="00E0343F"/>
    <w:rsid w:val="00E154D6"/>
    <w:rsid w:val="00E1550C"/>
    <w:rsid w:val="00E259F3"/>
    <w:rsid w:val="00E502A0"/>
    <w:rsid w:val="00E60CE8"/>
    <w:rsid w:val="00E842B3"/>
    <w:rsid w:val="00E92B44"/>
    <w:rsid w:val="00EA68BC"/>
    <w:rsid w:val="00EE51E9"/>
    <w:rsid w:val="00EF77FC"/>
    <w:rsid w:val="00F760FF"/>
    <w:rsid w:val="00F8219B"/>
    <w:rsid w:val="00F8644B"/>
    <w:rsid w:val="00F91A9C"/>
    <w:rsid w:val="00F962FB"/>
    <w:rsid w:val="00FC34FC"/>
    <w:rsid w:val="00FC3B2B"/>
    <w:rsid w:val="00FD338B"/>
    <w:rsid w:val="00FE4EBB"/>
    <w:rsid w:val="00FF6706"/>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sz w:val="22"/>
        <w:szCs w:val="22"/>
        <w:lang w:val="en-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08D"/>
    <w:pPr>
      <w:tabs>
        <w:tab w:val="right" w:pos="9752"/>
      </w:tabs>
      <w:spacing w:before="120" w:after="240"/>
    </w:pPr>
    <w:rPr>
      <w:rFonts w:ascii="Arial Bold" w:hAnsi="Arial Bold"/>
      <w:b/>
      <w:sz w:val="28"/>
      <w:lang w:val="en-GB"/>
    </w:rPr>
  </w:style>
  <w:style w:type="paragraph" w:styleId="Heading1">
    <w:name w:val="heading 1"/>
    <w:basedOn w:val="Normal"/>
    <w:next w:val="Normal"/>
    <w:link w:val="Heading1Char"/>
    <w:qFormat/>
    <w:rsid w:val="00C230E4"/>
    <w:pPr>
      <w:keepNext/>
      <w:spacing w:before="240" w:after="60"/>
      <w:outlineLvl w:val="0"/>
    </w:pPr>
    <w:rPr>
      <w:rFonts w:eastAsia="Times New Roman"/>
      <w:bCs/>
      <w:kern w:val="32"/>
      <w:szCs w:val="32"/>
    </w:rPr>
  </w:style>
  <w:style w:type="paragraph" w:styleId="Heading2">
    <w:name w:val="heading 2"/>
    <w:basedOn w:val="Normal"/>
    <w:next w:val="Normal"/>
    <w:link w:val="Heading2Char"/>
    <w:qFormat/>
    <w:rsid w:val="00C230E4"/>
    <w:pPr>
      <w:keepNext/>
      <w:numPr>
        <w:ilvl w:val="1"/>
        <w:numId w:val="13"/>
      </w:numPr>
      <w:outlineLvl w:val="1"/>
    </w:pPr>
    <w:rPr>
      <w:rFonts w:eastAsia="Times New Roman"/>
      <w:bCs/>
      <w:iCs/>
      <w:caps/>
      <w:szCs w:val="28"/>
    </w:rPr>
  </w:style>
  <w:style w:type="paragraph" w:styleId="Heading3">
    <w:name w:val="heading 3"/>
    <w:basedOn w:val="Normal"/>
    <w:next w:val="Normal"/>
    <w:link w:val="Heading3Char"/>
    <w:qFormat/>
    <w:rsid w:val="00C230E4"/>
    <w:pPr>
      <w:keepNext/>
      <w:numPr>
        <w:ilvl w:val="2"/>
        <w:numId w:val="13"/>
      </w:numPr>
      <w:spacing w:before="240" w:after="60"/>
      <w:jc w:val="both"/>
      <w:outlineLvl w:val="2"/>
    </w:pPr>
    <w:rPr>
      <w:rFonts w:eastAsia="Times New Roman"/>
      <w:lang w:val="en-ZA"/>
    </w:rPr>
  </w:style>
  <w:style w:type="paragraph" w:styleId="Heading4">
    <w:name w:val="heading 4"/>
    <w:basedOn w:val="Normal"/>
    <w:next w:val="Normal"/>
    <w:link w:val="Heading4Char"/>
    <w:qFormat/>
    <w:rsid w:val="00C230E4"/>
    <w:pPr>
      <w:keepNext/>
      <w:numPr>
        <w:ilvl w:val="3"/>
        <w:numId w:val="13"/>
      </w:numPr>
      <w:autoSpaceDE w:val="0"/>
      <w:autoSpaceDN w:val="0"/>
      <w:adjustRightInd w:val="0"/>
      <w:jc w:val="center"/>
      <w:outlineLvl w:val="3"/>
    </w:pPr>
    <w:rPr>
      <w:rFonts w:ascii="Arial-BoldMT" w:eastAsia="Times New Roman" w:hAnsi="Arial-BoldMT"/>
      <w:bCs/>
      <w:sz w:val="32"/>
      <w:szCs w:val="32"/>
    </w:rPr>
  </w:style>
  <w:style w:type="paragraph" w:styleId="Heading5">
    <w:name w:val="heading 5"/>
    <w:basedOn w:val="Normal"/>
    <w:next w:val="Normal"/>
    <w:link w:val="Heading5Char"/>
    <w:qFormat/>
    <w:rsid w:val="00C230E4"/>
    <w:pPr>
      <w:keepNext/>
      <w:numPr>
        <w:ilvl w:val="4"/>
        <w:numId w:val="13"/>
      </w:numPr>
      <w:autoSpaceDE w:val="0"/>
      <w:autoSpaceDN w:val="0"/>
      <w:adjustRightInd w:val="0"/>
      <w:jc w:val="center"/>
      <w:outlineLvl w:val="4"/>
    </w:pPr>
    <w:rPr>
      <w:rFonts w:ascii="Arial-BoldMT" w:eastAsia="Times New Roman" w:hAnsi="Arial-BoldMT"/>
      <w:bCs/>
      <w:sz w:val="20"/>
      <w:szCs w:val="20"/>
    </w:rPr>
  </w:style>
  <w:style w:type="paragraph" w:styleId="Heading6">
    <w:name w:val="heading 6"/>
    <w:basedOn w:val="Normal"/>
    <w:next w:val="Normal"/>
    <w:link w:val="Heading6Char"/>
    <w:qFormat/>
    <w:rsid w:val="00C230E4"/>
    <w:pPr>
      <w:keepNext/>
      <w:numPr>
        <w:ilvl w:val="5"/>
        <w:numId w:val="13"/>
      </w:numPr>
      <w:autoSpaceDE w:val="0"/>
      <w:autoSpaceDN w:val="0"/>
      <w:adjustRightInd w:val="0"/>
      <w:spacing w:line="360" w:lineRule="auto"/>
      <w:outlineLvl w:val="5"/>
    </w:pPr>
    <w:rPr>
      <w:rFonts w:ascii="ArialMT" w:eastAsia="Times New Roman" w:hAnsi="ArialMT"/>
      <w:bCs/>
      <w:sz w:val="20"/>
      <w:szCs w:val="20"/>
    </w:rPr>
  </w:style>
  <w:style w:type="paragraph" w:styleId="Heading9">
    <w:name w:val="heading 9"/>
    <w:basedOn w:val="Normal"/>
    <w:next w:val="Normal"/>
    <w:link w:val="Heading9Char"/>
    <w:qFormat/>
    <w:rsid w:val="00C230E4"/>
    <w:pPr>
      <w:spacing w:before="240" w:after="6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Heading 2 Numbering"/>
    <w:uiPriority w:val="99"/>
    <w:rsid w:val="00C230E4"/>
    <w:pPr>
      <w:numPr>
        <w:numId w:val="1"/>
      </w:numPr>
    </w:pPr>
  </w:style>
  <w:style w:type="character" w:customStyle="1" w:styleId="Heading1Char">
    <w:name w:val="Heading 1 Char"/>
    <w:basedOn w:val="DefaultParagraphFont"/>
    <w:link w:val="Heading1"/>
    <w:rsid w:val="00C230E4"/>
    <w:rPr>
      <w:rFonts w:ascii="Arial Bold" w:eastAsia="Times New Roman" w:hAnsi="Arial Bold" w:cs="Arial"/>
      <w:b/>
      <w:bCs/>
      <w:color w:val="000000"/>
      <w:kern w:val="32"/>
      <w:sz w:val="24"/>
      <w:szCs w:val="32"/>
      <w:lang w:val="en-US"/>
    </w:rPr>
  </w:style>
  <w:style w:type="character" w:customStyle="1" w:styleId="Heading2Char">
    <w:name w:val="Heading 2 Char"/>
    <w:basedOn w:val="DefaultParagraphFont"/>
    <w:link w:val="Heading2"/>
    <w:rsid w:val="00C230E4"/>
    <w:rPr>
      <w:rFonts w:ascii="Arial Bold" w:eastAsia="Times New Roman" w:hAnsi="Arial Bold" w:cs="Arial"/>
      <w:b/>
      <w:bCs/>
      <w:iCs/>
      <w:caps/>
      <w:color w:val="000000"/>
      <w:sz w:val="24"/>
      <w:szCs w:val="28"/>
      <w:lang w:val="en-US"/>
    </w:rPr>
  </w:style>
  <w:style w:type="character" w:customStyle="1" w:styleId="Heading3Char">
    <w:name w:val="Heading 3 Char"/>
    <w:basedOn w:val="DefaultParagraphFont"/>
    <w:link w:val="Heading3"/>
    <w:rsid w:val="00C230E4"/>
    <w:rPr>
      <w:rFonts w:ascii="Arial Bold" w:eastAsia="Times New Roman" w:hAnsi="Arial Bold" w:cs="Arial"/>
      <w:b/>
      <w:color w:val="000000"/>
      <w:sz w:val="24"/>
      <w:szCs w:val="24"/>
    </w:rPr>
  </w:style>
  <w:style w:type="character" w:customStyle="1" w:styleId="Heading4Char">
    <w:name w:val="Heading 4 Char"/>
    <w:basedOn w:val="DefaultParagraphFont"/>
    <w:link w:val="Heading4"/>
    <w:rsid w:val="00C230E4"/>
    <w:rPr>
      <w:rFonts w:ascii="Arial-BoldMT" w:eastAsia="Times New Roman" w:hAnsi="Arial-BoldMT" w:cs="Arial"/>
      <w:b/>
      <w:bCs/>
      <w:color w:val="000000"/>
      <w:sz w:val="32"/>
      <w:szCs w:val="32"/>
      <w:lang w:val="en-US"/>
    </w:rPr>
  </w:style>
  <w:style w:type="character" w:customStyle="1" w:styleId="Heading5Char">
    <w:name w:val="Heading 5 Char"/>
    <w:basedOn w:val="DefaultParagraphFont"/>
    <w:link w:val="Heading5"/>
    <w:rsid w:val="00C230E4"/>
    <w:rPr>
      <w:rFonts w:ascii="Arial-BoldMT" w:eastAsia="Times New Roman" w:hAnsi="Arial-BoldMT" w:cs="Arial"/>
      <w:b/>
      <w:bCs/>
      <w:color w:val="000000"/>
      <w:sz w:val="20"/>
      <w:szCs w:val="20"/>
      <w:lang w:val="en-US"/>
    </w:rPr>
  </w:style>
  <w:style w:type="character" w:customStyle="1" w:styleId="Heading6Char">
    <w:name w:val="Heading 6 Char"/>
    <w:basedOn w:val="DefaultParagraphFont"/>
    <w:link w:val="Heading6"/>
    <w:rsid w:val="00C230E4"/>
    <w:rPr>
      <w:rFonts w:ascii="ArialMT" w:eastAsia="Times New Roman" w:hAnsi="ArialMT" w:cs="Arial"/>
      <w:b/>
      <w:bCs/>
      <w:color w:val="000000"/>
      <w:sz w:val="20"/>
      <w:szCs w:val="20"/>
      <w:lang w:val="en-US"/>
    </w:rPr>
  </w:style>
  <w:style w:type="character" w:customStyle="1" w:styleId="Heading9Char">
    <w:name w:val="Heading 9 Char"/>
    <w:basedOn w:val="DefaultParagraphFont"/>
    <w:link w:val="Heading9"/>
    <w:rsid w:val="00C230E4"/>
    <w:rPr>
      <w:rFonts w:ascii="Arial" w:eastAsia="Times New Roman" w:hAnsi="Arial" w:cs="Arial"/>
      <w:color w:val="000000"/>
      <w:lang w:val="en-US"/>
    </w:rPr>
  </w:style>
  <w:style w:type="paragraph" w:styleId="TOC1">
    <w:name w:val="toc 1"/>
    <w:basedOn w:val="Normal"/>
    <w:next w:val="Normal"/>
    <w:autoRedefine/>
    <w:uiPriority w:val="39"/>
    <w:qFormat/>
    <w:rsid w:val="008C5580"/>
    <w:pPr>
      <w:tabs>
        <w:tab w:val="right" w:leader="dot" w:pos="9589"/>
      </w:tabs>
      <w:spacing w:after="120"/>
      <w:ind w:left="851" w:hanging="851"/>
    </w:pPr>
    <w:rPr>
      <w:rFonts w:ascii="Arial" w:eastAsia="Times New Roman" w:hAnsi="Arial"/>
      <w:b w:val="0"/>
      <w:caps/>
      <w:noProof/>
      <w:sz w:val="22"/>
    </w:rPr>
  </w:style>
  <w:style w:type="paragraph" w:styleId="TOC2">
    <w:name w:val="toc 2"/>
    <w:basedOn w:val="Normal"/>
    <w:next w:val="Normal"/>
    <w:autoRedefine/>
    <w:uiPriority w:val="39"/>
    <w:unhideWhenUsed/>
    <w:rsid w:val="00C230E4"/>
    <w:pPr>
      <w:tabs>
        <w:tab w:val="left" w:pos="1418"/>
        <w:tab w:val="left" w:pos="1843"/>
        <w:tab w:val="right" w:leader="dot" w:pos="9589"/>
      </w:tabs>
      <w:spacing w:after="100"/>
      <w:ind w:left="1417" w:right="193" w:hanging="958"/>
    </w:pPr>
    <w:rPr>
      <w:rFonts w:eastAsia="Times New Roman"/>
      <w:caps/>
      <w:noProof/>
      <w:color w:val="auto"/>
      <w:sz w:val="22"/>
      <w:lang w:val="en-ZA"/>
    </w:rPr>
  </w:style>
  <w:style w:type="paragraph" w:styleId="TOC3">
    <w:name w:val="toc 3"/>
    <w:basedOn w:val="Normal"/>
    <w:next w:val="Normal"/>
    <w:autoRedefine/>
    <w:uiPriority w:val="39"/>
    <w:unhideWhenUsed/>
    <w:qFormat/>
    <w:rsid w:val="00C230E4"/>
    <w:pPr>
      <w:tabs>
        <w:tab w:val="left" w:pos="1560"/>
        <w:tab w:val="right" w:leader="dot" w:pos="9589"/>
      </w:tabs>
      <w:spacing w:after="100"/>
      <w:ind w:left="1560" w:right="193" w:hanging="1101"/>
    </w:pPr>
    <w:rPr>
      <w:rFonts w:eastAsia="Times New Roman"/>
      <w:noProof/>
      <w:sz w:val="22"/>
    </w:rPr>
  </w:style>
  <w:style w:type="paragraph" w:styleId="Header">
    <w:name w:val="header"/>
    <w:basedOn w:val="Normal"/>
    <w:link w:val="HeaderChar"/>
    <w:rsid w:val="00C230E4"/>
    <w:pPr>
      <w:tabs>
        <w:tab w:val="center" w:pos="4153"/>
        <w:tab w:val="right" w:pos="8306"/>
      </w:tabs>
    </w:pPr>
    <w:rPr>
      <w:rFonts w:eastAsia="Times New Roman"/>
    </w:rPr>
  </w:style>
  <w:style w:type="character" w:customStyle="1" w:styleId="HeaderChar">
    <w:name w:val="Header Char"/>
    <w:basedOn w:val="DefaultParagraphFont"/>
    <w:link w:val="Header"/>
    <w:rsid w:val="00C230E4"/>
    <w:rPr>
      <w:rFonts w:ascii="Arial" w:eastAsia="Times New Roman" w:hAnsi="Arial" w:cs="Arial"/>
      <w:color w:val="000000"/>
      <w:sz w:val="24"/>
      <w:szCs w:val="24"/>
      <w:lang w:val="en-US"/>
    </w:rPr>
  </w:style>
  <w:style w:type="paragraph" w:styleId="Footer">
    <w:name w:val="footer"/>
    <w:basedOn w:val="Normal"/>
    <w:link w:val="FooterChar"/>
    <w:uiPriority w:val="99"/>
    <w:rsid w:val="00C230E4"/>
    <w:pPr>
      <w:tabs>
        <w:tab w:val="center" w:pos="4153"/>
        <w:tab w:val="right" w:pos="8306"/>
      </w:tabs>
    </w:pPr>
    <w:rPr>
      <w:rFonts w:eastAsia="Times New Roman"/>
    </w:rPr>
  </w:style>
  <w:style w:type="character" w:customStyle="1" w:styleId="FooterChar">
    <w:name w:val="Footer Char"/>
    <w:basedOn w:val="DefaultParagraphFont"/>
    <w:link w:val="Footer"/>
    <w:uiPriority w:val="99"/>
    <w:rsid w:val="00C230E4"/>
    <w:rPr>
      <w:rFonts w:ascii="Arial" w:eastAsia="Times New Roman" w:hAnsi="Arial" w:cs="Arial"/>
      <w:color w:val="000000"/>
      <w:sz w:val="24"/>
      <w:szCs w:val="24"/>
      <w:lang w:val="en-US"/>
    </w:rPr>
  </w:style>
  <w:style w:type="paragraph" w:styleId="ListNumber">
    <w:name w:val="List Number"/>
    <w:basedOn w:val="Normal"/>
    <w:next w:val="Para2"/>
    <w:uiPriority w:val="99"/>
    <w:rsid w:val="00F91A9C"/>
    <w:pPr>
      <w:numPr>
        <w:numId w:val="33"/>
      </w:numPr>
      <w:spacing w:before="300"/>
      <w:contextualSpacing/>
    </w:pPr>
    <w:rPr>
      <w:rFonts w:eastAsia="Times New Roman"/>
      <w:sz w:val="24"/>
    </w:rPr>
  </w:style>
  <w:style w:type="paragraph" w:styleId="ListNumber2">
    <w:name w:val="List Number 2"/>
    <w:basedOn w:val="Normal"/>
    <w:uiPriority w:val="99"/>
    <w:rsid w:val="00FC34FC"/>
    <w:pPr>
      <w:numPr>
        <w:ilvl w:val="1"/>
        <w:numId w:val="33"/>
      </w:numPr>
      <w:tabs>
        <w:tab w:val="clear" w:pos="9752"/>
      </w:tabs>
      <w:spacing w:before="240" w:after="120"/>
      <w:jc w:val="both"/>
    </w:pPr>
    <w:rPr>
      <w:rFonts w:ascii="Arial" w:eastAsia="Times New Roman" w:hAnsi="Arial"/>
      <w:b w:val="0"/>
      <w:sz w:val="22"/>
    </w:rPr>
  </w:style>
  <w:style w:type="paragraph" w:styleId="ListNumber3">
    <w:name w:val="List Number 3"/>
    <w:basedOn w:val="Normal"/>
    <w:next w:val="Para3"/>
    <w:uiPriority w:val="99"/>
    <w:rsid w:val="002B501D"/>
    <w:pPr>
      <w:keepNext/>
      <w:numPr>
        <w:ilvl w:val="2"/>
        <w:numId w:val="33"/>
      </w:numPr>
      <w:tabs>
        <w:tab w:val="clear" w:pos="9752"/>
      </w:tabs>
      <w:spacing w:after="120"/>
      <w:jc w:val="both"/>
    </w:pPr>
    <w:rPr>
      <w:rFonts w:ascii="Arial" w:eastAsia="Times New Roman" w:hAnsi="Arial"/>
      <w:b w:val="0"/>
      <w:sz w:val="22"/>
    </w:rPr>
  </w:style>
  <w:style w:type="paragraph" w:styleId="BodyText">
    <w:name w:val="Body Text"/>
    <w:basedOn w:val="Normal"/>
    <w:link w:val="BodyTextChar"/>
    <w:uiPriority w:val="99"/>
    <w:semiHidden/>
    <w:unhideWhenUsed/>
    <w:rsid w:val="00C230E4"/>
    <w:pPr>
      <w:spacing w:after="120"/>
    </w:pPr>
    <w:rPr>
      <w:rFonts w:eastAsia="Times New Roman"/>
    </w:rPr>
  </w:style>
  <w:style w:type="character" w:customStyle="1" w:styleId="BodyTextChar">
    <w:name w:val="Body Text Char"/>
    <w:basedOn w:val="DefaultParagraphFont"/>
    <w:link w:val="BodyText"/>
    <w:uiPriority w:val="99"/>
    <w:semiHidden/>
    <w:rsid w:val="00C230E4"/>
    <w:rPr>
      <w:rFonts w:ascii="Arial" w:eastAsia="Times New Roman" w:hAnsi="Arial" w:cs="Arial"/>
      <w:color w:val="000000"/>
      <w:sz w:val="24"/>
      <w:szCs w:val="24"/>
      <w:lang w:val="en-US"/>
    </w:rPr>
  </w:style>
  <w:style w:type="paragraph" w:styleId="BodyTextIndent">
    <w:name w:val="Body Text Indent"/>
    <w:basedOn w:val="Normal"/>
    <w:link w:val="BodyTextIndentChar"/>
    <w:rsid w:val="00C230E4"/>
    <w:pPr>
      <w:spacing w:line="360" w:lineRule="auto"/>
      <w:ind w:left="1440" w:hanging="538"/>
      <w:jc w:val="both"/>
    </w:pPr>
    <w:rPr>
      <w:rFonts w:eastAsia="Times New Roman"/>
      <w:sz w:val="20"/>
      <w:lang w:val="en-ZA"/>
    </w:rPr>
  </w:style>
  <w:style w:type="character" w:customStyle="1" w:styleId="BodyTextIndentChar">
    <w:name w:val="Body Text Indent Char"/>
    <w:basedOn w:val="DefaultParagraphFont"/>
    <w:link w:val="BodyTextIndent"/>
    <w:rsid w:val="00C230E4"/>
    <w:rPr>
      <w:rFonts w:ascii="Arial" w:eastAsia="Times New Roman" w:hAnsi="Arial" w:cs="Arial"/>
      <w:color w:val="000000"/>
      <w:sz w:val="20"/>
      <w:szCs w:val="24"/>
    </w:rPr>
  </w:style>
  <w:style w:type="paragraph" w:styleId="BodyTextFirstIndent2">
    <w:name w:val="Body Text First Indent 2"/>
    <w:basedOn w:val="BodyTextIndent"/>
    <w:link w:val="BodyTextFirstIndent2Char"/>
    <w:rsid w:val="00C230E4"/>
    <w:pPr>
      <w:spacing w:after="120" w:line="240" w:lineRule="auto"/>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basedOn w:val="BodyTextIndentChar"/>
    <w:link w:val="BodyTextFirstIndent2"/>
    <w:rsid w:val="00C230E4"/>
    <w:rPr>
      <w:rFonts w:ascii="Times New Roman" w:eastAsia="Times New Roman" w:hAnsi="Times New Roman" w:cs="Times New Roman"/>
      <w:color w:val="000000"/>
      <w:sz w:val="24"/>
      <w:szCs w:val="24"/>
      <w:lang w:val="en-US"/>
    </w:rPr>
  </w:style>
  <w:style w:type="paragraph" w:styleId="BodyText2">
    <w:name w:val="Body Text 2"/>
    <w:basedOn w:val="Normal"/>
    <w:link w:val="BodyText2Char"/>
    <w:rsid w:val="00C230E4"/>
    <w:pPr>
      <w:spacing w:after="120" w:line="480" w:lineRule="auto"/>
    </w:pPr>
    <w:rPr>
      <w:rFonts w:eastAsia="Times New Roman"/>
    </w:rPr>
  </w:style>
  <w:style w:type="character" w:customStyle="1" w:styleId="BodyText2Char">
    <w:name w:val="Body Text 2 Char"/>
    <w:basedOn w:val="DefaultParagraphFont"/>
    <w:link w:val="BodyText2"/>
    <w:rsid w:val="00C230E4"/>
    <w:rPr>
      <w:rFonts w:ascii="Arial" w:eastAsia="Times New Roman" w:hAnsi="Arial" w:cs="Arial"/>
      <w:color w:val="000000"/>
      <w:sz w:val="24"/>
      <w:szCs w:val="24"/>
      <w:lang w:val="en-US"/>
    </w:rPr>
  </w:style>
  <w:style w:type="paragraph" w:styleId="BodyTextIndent2">
    <w:name w:val="Body Text Indent 2"/>
    <w:aliases w:val="Paragraphs"/>
    <w:basedOn w:val="Normal"/>
    <w:link w:val="BodyTextIndent2Char"/>
    <w:rsid w:val="00C230E4"/>
    <w:pPr>
      <w:spacing w:before="60" w:after="60"/>
      <w:ind w:left="709"/>
      <w:jc w:val="both"/>
    </w:pPr>
    <w:rPr>
      <w:rFonts w:eastAsia="Times New Roman"/>
      <w:sz w:val="22"/>
      <w:lang w:val="en-ZA"/>
    </w:rPr>
  </w:style>
  <w:style w:type="character" w:customStyle="1" w:styleId="BodyTextIndent2Char">
    <w:name w:val="Body Text Indent 2 Char"/>
    <w:aliases w:val="Paragraphs Char"/>
    <w:basedOn w:val="DefaultParagraphFont"/>
    <w:link w:val="BodyTextIndent2"/>
    <w:rsid w:val="00C230E4"/>
    <w:rPr>
      <w:rFonts w:ascii="Arial" w:eastAsia="Times New Roman" w:hAnsi="Arial" w:cs="Arial"/>
      <w:color w:val="000000"/>
      <w:szCs w:val="24"/>
    </w:rPr>
  </w:style>
  <w:style w:type="paragraph" w:styleId="BodyTextIndent3">
    <w:name w:val="Body Text Indent 3"/>
    <w:basedOn w:val="Normal"/>
    <w:link w:val="BodyTextIndent3Char"/>
    <w:rsid w:val="00C230E4"/>
    <w:pPr>
      <w:spacing w:line="360" w:lineRule="auto"/>
      <w:ind w:left="2160"/>
      <w:jc w:val="both"/>
    </w:pPr>
    <w:rPr>
      <w:rFonts w:eastAsia="Times New Roman"/>
      <w:sz w:val="20"/>
      <w:lang w:val="en-ZA"/>
    </w:rPr>
  </w:style>
  <w:style w:type="character" w:customStyle="1" w:styleId="BodyTextIndent3Char">
    <w:name w:val="Body Text Indent 3 Char"/>
    <w:basedOn w:val="DefaultParagraphFont"/>
    <w:link w:val="BodyTextIndent3"/>
    <w:rsid w:val="00C230E4"/>
    <w:rPr>
      <w:rFonts w:ascii="Arial" w:eastAsia="Times New Roman" w:hAnsi="Arial" w:cs="Arial"/>
      <w:color w:val="000000"/>
      <w:sz w:val="20"/>
      <w:szCs w:val="24"/>
    </w:rPr>
  </w:style>
  <w:style w:type="character" w:styleId="Hyperlink">
    <w:name w:val="Hyperlink"/>
    <w:basedOn w:val="DefaultParagraphFont"/>
    <w:uiPriority w:val="99"/>
    <w:rsid w:val="00C230E4"/>
    <w:rPr>
      <w:color w:val="0000FF"/>
      <w:u w:val="single"/>
    </w:rPr>
  </w:style>
  <w:style w:type="paragraph" w:customStyle="1" w:styleId="SH1">
    <w:name w:val="SH1"/>
    <w:basedOn w:val="Normal"/>
    <w:next w:val="BodyText"/>
    <w:rsid w:val="00C230E4"/>
    <w:pPr>
      <w:numPr>
        <w:numId w:val="13"/>
      </w:numPr>
    </w:pPr>
    <w:rPr>
      <w:rFonts w:eastAsia="Times New Roman"/>
      <w:caps/>
      <w:sz w:val="20"/>
      <w:u w:val="single"/>
    </w:rPr>
  </w:style>
  <w:style w:type="paragraph" w:customStyle="1" w:styleId="MSParagraph">
    <w:name w:val="MS Paragraph"/>
    <w:qFormat/>
    <w:rsid w:val="00C230E4"/>
    <w:pPr>
      <w:tabs>
        <w:tab w:val="left" w:pos="851"/>
      </w:tabs>
      <w:spacing w:before="120"/>
      <w:jc w:val="both"/>
    </w:pPr>
    <w:rPr>
      <w:rFonts w:eastAsia="Times New Roman"/>
      <w:szCs w:val="24"/>
      <w:lang w:val="en-US" w:eastAsia="en-GB"/>
    </w:rPr>
  </w:style>
  <w:style w:type="paragraph" w:customStyle="1" w:styleId="MSHeading1">
    <w:name w:val="MS Heading 1"/>
    <w:basedOn w:val="Normal"/>
    <w:next w:val="Normal"/>
    <w:qFormat/>
    <w:rsid w:val="00C230E4"/>
    <w:pPr>
      <w:numPr>
        <w:numId w:val="14"/>
      </w:numPr>
      <w:spacing w:before="240" w:after="120"/>
    </w:pPr>
    <w:rPr>
      <w:rFonts w:eastAsia="Times New Roman"/>
    </w:rPr>
  </w:style>
  <w:style w:type="paragraph" w:customStyle="1" w:styleId="MSBullets1">
    <w:name w:val="MS Bullets 1"/>
    <w:basedOn w:val="Normal"/>
    <w:qFormat/>
    <w:rsid w:val="00C230E4"/>
    <w:pPr>
      <w:numPr>
        <w:numId w:val="15"/>
      </w:numPr>
      <w:spacing w:before="60" w:after="60"/>
      <w:jc w:val="both"/>
    </w:pPr>
    <w:rPr>
      <w:rFonts w:eastAsia="Times New Roman"/>
      <w:sz w:val="22"/>
      <w:szCs w:val="20"/>
      <w:lang w:val="en-ZA"/>
    </w:rPr>
  </w:style>
  <w:style w:type="paragraph" w:customStyle="1" w:styleId="MSBullets2">
    <w:name w:val="MS Bullets 2"/>
    <w:basedOn w:val="MSBullets1"/>
    <w:qFormat/>
    <w:rsid w:val="00C230E4"/>
    <w:pPr>
      <w:numPr>
        <w:numId w:val="16"/>
      </w:numPr>
    </w:pPr>
  </w:style>
  <w:style w:type="paragraph" w:customStyle="1" w:styleId="MSHeading2">
    <w:name w:val="MS Heading 2"/>
    <w:basedOn w:val="MSHeading1"/>
    <w:autoRedefine/>
    <w:qFormat/>
    <w:rsid w:val="00C230E4"/>
    <w:pPr>
      <w:numPr>
        <w:ilvl w:val="1"/>
        <w:numId w:val="17"/>
      </w:numPr>
    </w:pPr>
    <w:rPr>
      <w:b w:val="0"/>
    </w:rPr>
  </w:style>
  <w:style w:type="numbering" w:customStyle="1" w:styleId="H1Numbers">
    <w:name w:val="H1 Numbers"/>
    <w:uiPriority w:val="99"/>
    <w:rsid w:val="00C230E4"/>
    <w:pPr>
      <w:numPr>
        <w:numId w:val="19"/>
      </w:numPr>
    </w:pPr>
  </w:style>
  <w:style w:type="numbering" w:customStyle="1" w:styleId="HS1Numbers">
    <w:name w:val="HS1 Numbers"/>
    <w:uiPriority w:val="99"/>
    <w:rsid w:val="00C230E4"/>
    <w:pPr>
      <w:numPr>
        <w:numId w:val="8"/>
      </w:numPr>
    </w:pPr>
  </w:style>
  <w:style w:type="paragraph" w:customStyle="1" w:styleId="H1NumberList">
    <w:name w:val="H1 Number List"/>
    <w:basedOn w:val="Normal"/>
    <w:rsid w:val="00C230E4"/>
    <w:pPr>
      <w:numPr>
        <w:numId w:val="21"/>
      </w:numPr>
    </w:pPr>
    <w:rPr>
      <w:rFonts w:eastAsia="Times New Roman"/>
    </w:rPr>
  </w:style>
  <w:style w:type="numbering" w:customStyle="1" w:styleId="Numbers">
    <w:name w:val="Numbers"/>
    <w:uiPriority w:val="99"/>
    <w:rsid w:val="006343DE"/>
    <w:pPr>
      <w:numPr>
        <w:numId w:val="22"/>
      </w:numPr>
    </w:pPr>
  </w:style>
  <w:style w:type="numbering" w:customStyle="1" w:styleId="Style1">
    <w:name w:val="Style1"/>
    <w:uiPriority w:val="99"/>
    <w:rsid w:val="003C5823"/>
    <w:pPr>
      <w:numPr>
        <w:numId w:val="23"/>
      </w:numPr>
    </w:pPr>
  </w:style>
  <w:style w:type="numbering" w:customStyle="1" w:styleId="Style2">
    <w:name w:val="Style2"/>
    <w:uiPriority w:val="99"/>
    <w:rsid w:val="003C5823"/>
    <w:pPr>
      <w:numPr>
        <w:numId w:val="25"/>
      </w:numPr>
    </w:pPr>
  </w:style>
  <w:style w:type="numbering" w:customStyle="1" w:styleId="ListNumber-Civ">
    <w:name w:val="List Number - Civ"/>
    <w:uiPriority w:val="99"/>
    <w:rsid w:val="00DB26D0"/>
    <w:pPr>
      <w:numPr>
        <w:numId w:val="33"/>
      </w:numPr>
    </w:pPr>
  </w:style>
  <w:style w:type="paragraph" w:customStyle="1" w:styleId="Para1">
    <w:name w:val="Para 1"/>
    <w:basedOn w:val="ListNumber"/>
    <w:qFormat/>
    <w:rsid w:val="00DB26D0"/>
    <w:pPr>
      <w:numPr>
        <w:numId w:val="0"/>
      </w:numPr>
      <w:spacing w:before="120" w:after="120"/>
      <w:jc w:val="both"/>
    </w:pPr>
    <w:rPr>
      <w:rFonts w:ascii="Arial" w:hAnsi="Arial"/>
      <w:b w:val="0"/>
      <w:sz w:val="22"/>
    </w:rPr>
  </w:style>
  <w:style w:type="paragraph" w:customStyle="1" w:styleId="Para2">
    <w:name w:val="Para 2"/>
    <w:basedOn w:val="Para1"/>
    <w:qFormat/>
    <w:rsid w:val="00355003"/>
    <w:pPr>
      <w:ind w:left="709"/>
      <w:contextualSpacing w:val="0"/>
    </w:pPr>
  </w:style>
  <w:style w:type="paragraph" w:customStyle="1" w:styleId="Bullets1-Paragraph">
    <w:name w:val="Bullets 1 - Paragraph"/>
    <w:basedOn w:val="ListNumber"/>
    <w:qFormat/>
    <w:rsid w:val="00075AC7"/>
    <w:pPr>
      <w:numPr>
        <w:numId w:val="35"/>
      </w:numPr>
      <w:tabs>
        <w:tab w:val="clear" w:pos="9752"/>
      </w:tabs>
      <w:spacing w:before="60" w:after="60"/>
      <w:ind w:left="1134" w:hanging="425"/>
      <w:contextualSpacing w:val="0"/>
      <w:jc w:val="both"/>
    </w:pPr>
    <w:rPr>
      <w:rFonts w:ascii="Arial" w:hAnsi="Arial"/>
      <w:b w:val="0"/>
      <w:sz w:val="22"/>
    </w:rPr>
  </w:style>
  <w:style w:type="paragraph" w:customStyle="1" w:styleId="Para3">
    <w:name w:val="Para 3"/>
    <w:basedOn w:val="Para2"/>
    <w:qFormat/>
    <w:rsid w:val="00382B6B"/>
    <w:pPr>
      <w:ind w:left="992"/>
    </w:pPr>
  </w:style>
  <w:style w:type="paragraph" w:styleId="BalloonText">
    <w:name w:val="Balloon Text"/>
    <w:basedOn w:val="Normal"/>
    <w:link w:val="BalloonTextChar"/>
    <w:uiPriority w:val="99"/>
    <w:semiHidden/>
    <w:unhideWhenUsed/>
    <w:rsid w:val="00C127B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27B9"/>
    <w:rPr>
      <w:rFonts w:ascii="Tahoma" w:hAnsi="Tahoma" w:cs="Tahoma"/>
      <w:b/>
      <w:sz w:val="16"/>
      <w:szCs w:val="16"/>
      <w:lang w:val="en-GB"/>
    </w:rPr>
  </w:style>
  <w:style w:type="table" w:styleId="TableGrid">
    <w:name w:val="Table Grid"/>
    <w:basedOn w:val="TableNormal"/>
    <w:uiPriority w:val="59"/>
    <w:rsid w:val="00AE6856"/>
    <w:rPr>
      <w:rFonts w:ascii="Calibri" w:eastAsia="Calibri" w:hAnsi="Calibri" w:cs="Times New Roman"/>
      <w:color w:val="auto"/>
      <w:sz w:val="20"/>
      <w:szCs w:val="20"/>
      <w:lang w:eastAsia="en-Z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Heading">
    <w:name w:val="Table Heading"/>
    <w:basedOn w:val="Normal"/>
    <w:qFormat/>
    <w:rsid w:val="00AE6856"/>
    <w:pPr>
      <w:tabs>
        <w:tab w:val="clear" w:pos="9752"/>
      </w:tabs>
      <w:spacing w:after="120"/>
      <w:jc w:val="center"/>
    </w:pPr>
    <w:rPr>
      <w:rFonts w:eastAsia="Calibri"/>
      <w:sz w:val="20"/>
      <w:szCs w:val="20"/>
    </w:rPr>
  </w:style>
  <w:style w:type="paragraph" w:customStyle="1" w:styleId="Table-Singlerowsentries">
    <w:name w:val="Table - Single rows/entries"/>
    <w:basedOn w:val="Normal"/>
    <w:qFormat/>
    <w:rsid w:val="00AE6856"/>
    <w:pPr>
      <w:tabs>
        <w:tab w:val="clear" w:pos="9752"/>
      </w:tabs>
      <w:spacing w:before="60" w:after="60"/>
      <w:ind w:left="51"/>
    </w:pPr>
    <w:rPr>
      <w:rFonts w:ascii="Arial" w:eastAsia="Calibri" w:hAnsi="Arial"/>
      <w:b w:val="0"/>
      <w:sz w:val="18"/>
      <w:szCs w:val="20"/>
      <w:lang w:eastAsia="en-ZA"/>
    </w:rPr>
  </w:style>
  <w:style w:type="paragraph" w:customStyle="1" w:styleId="Table-PlainText">
    <w:name w:val="Table - Plain Text"/>
    <w:basedOn w:val="Normal"/>
    <w:qFormat/>
    <w:rsid w:val="00E1550C"/>
    <w:pPr>
      <w:tabs>
        <w:tab w:val="clear" w:pos="9752"/>
      </w:tabs>
      <w:spacing w:before="40" w:after="40"/>
      <w:ind w:left="51"/>
    </w:pPr>
    <w:rPr>
      <w:rFonts w:ascii="Arial" w:eastAsia="Calibri" w:hAnsi="Arial"/>
      <w:b w:val="0"/>
      <w:sz w:val="22"/>
      <w:szCs w:val="20"/>
      <w:lang w:eastAsia="en-ZA"/>
    </w:rPr>
  </w:style>
  <w:style w:type="paragraph" w:customStyle="1" w:styleId="TableSub-Heading">
    <w:name w:val="Table Sub-Heading"/>
    <w:basedOn w:val="Table-Singlerowsentries"/>
    <w:next w:val="Table-PlainText"/>
    <w:qFormat/>
    <w:rsid w:val="00AE6856"/>
    <w:pPr>
      <w:spacing w:before="120" w:after="120"/>
    </w:pPr>
    <w:rPr>
      <w:rFonts w:cs="Times New Roman"/>
      <w:b/>
      <w:color w:val="auto"/>
    </w:rPr>
  </w:style>
  <w:style w:type="paragraph" w:customStyle="1" w:styleId="Para4">
    <w:name w:val="Para 4"/>
    <w:basedOn w:val="Para3"/>
    <w:qFormat/>
    <w:rsid w:val="004D308D"/>
    <w:pPr>
      <w:ind w:left="1134"/>
    </w:pPr>
  </w:style>
  <w:style w:type="paragraph" w:customStyle="1" w:styleId="Heading-Sections">
    <w:name w:val="Heading - Sections"/>
    <w:basedOn w:val="Normal"/>
    <w:qFormat/>
    <w:rsid w:val="00F8644B"/>
    <w:pPr>
      <w:spacing w:before="240"/>
    </w:pPr>
  </w:style>
  <w:style w:type="character" w:styleId="FollowedHyperlink">
    <w:name w:val="FollowedHyperlink"/>
    <w:basedOn w:val="DefaultParagraphFont"/>
    <w:uiPriority w:val="99"/>
    <w:semiHidden/>
    <w:unhideWhenUsed/>
    <w:rsid w:val="00F8644B"/>
    <w:rPr>
      <w:color w:val="800080" w:themeColor="followedHyperlink"/>
      <w:u w:val="single"/>
    </w:rPr>
  </w:style>
  <w:style w:type="paragraph" w:customStyle="1" w:styleId="Table-11ptparatext">
    <w:name w:val="Table - 11pt para/text"/>
    <w:basedOn w:val="Table-Singlerowsentries"/>
    <w:qFormat/>
    <w:rsid w:val="00703261"/>
    <w:pPr>
      <w:spacing w:before="50" w:after="50"/>
    </w:pPr>
    <w:rPr>
      <w:rFonts w:cs="Times New Roman"/>
      <w:color w:val="auto"/>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color w:val="000000"/>
        <w:sz w:val="22"/>
        <w:szCs w:val="22"/>
        <w:lang w:val="en-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08D"/>
    <w:pPr>
      <w:tabs>
        <w:tab w:val="right" w:pos="9752"/>
      </w:tabs>
      <w:spacing w:before="120" w:after="240"/>
    </w:pPr>
    <w:rPr>
      <w:rFonts w:ascii="Arial Bold" w:hAnsi="Arial Bold"/>
      <w:b/>
      <w:sz w:val="28"/>
      <w:lang w:val="en-GB"/>
    </w:rPr>
  </w:style>
  <w:style w:type="paragraph" w:styleId="Heading1">
    <w:name w:val="heading 1"/>
    <w:basedOn w:val="Normal"/>
    <w:next w:val="Normal"/>
    <w:link w:val="Heading1Char"/>
    <w:qFormat/>
    <w:rsid w:val="00C230E4"/>
    <w:pPr>
      <w:keepNext/>
      <w:spacing w:before="240" w:after="60"/>
      <w:outlineLvl w:val="0"/>
    </w:pPr>
    <w:rPr>
      <w:rFonts w:eastAsia="Times New Roman"/>
      <w:bCs/>
      <w:kern w:val="32"/>
      <w:szCs w:val="32"/>
    </w:rPr>
  </w:style>
  <w:style w:type="paragraph" w:styleId="Heading2">
    <w:name w:val="heading 2"/>
    <w:basedOn w:val="Normal"/>
    <w:next w:val="Normal"/>
    <w:link w:val="Heading2Char"/>
    <w:qFormat/>
    <w:rsid w:val="00C230E4"/>
    <w:pPr>
      <w:keepNext/>
      <w:numPr>
        <w:ilvl w:val="1"/>
        <w:numId w:val="13"/>
      </w:numPr>
      <w:outlineLvl w:val="1"/>
    </w:pPr>
    <w:rPr>
      <w:rFonts w:eastAsia="Times New Roman"/>
      <w:bCs/>
      <w:iCs/>
      <w:caps/>
      <w:szCs w:val="28"/>
    </w:rPr>
  </w:style>
  <w:style w:type="paragraph" w:styleId="Heading3">
    <w:name w:val="heading 3"/>
    <w:basedOn w:val="Normal"/>
    <w:next w:val="Normal"/>
    <w:link w:val="Heading3Char"/>
    <w:qFormat/>
    <w:rsid w:val="00C230E4"/>
    <w:pPr>
      <w:keepNext/>
      <w:numPr>
        <w:ilvl w:val="2"/>
        <w:numId w:val="13"/>
      </w:numPr>
      <w:spacing w:before="240" w:after="60"/>
      <w:jc w:val="both"/>
      <w:outlineLvl w:val="2"/>
    </w:pPr>
    <w:rPr>
      <w:rFonts w:eastAsia="Times New Roman"/>
      <w:lang w:val="en-ZA"/>
    </w:rPr>
  </w:style>
  <w:style w:type="paragraph" w:styleId="Heading4">
    <w:name w:val="heading 4"/>
    <w:basedOn w:val="Normal"/>
    <w:next w:val="Normal"/>
    <w:link w:val="Heading4Char"/>
    <w:qFormat/>
    <w:rsid w:val="00C230E4"/>
    <w:pPr>
      <w:keepNext/>
      <w:numPr>
        <w:ilvl w:val="3"/>
        <w:numId w:val="13"/>
      </w:numPr>
      <w:autoSpaceDE w:val="0"/>
      <w:autoSpaceDN w:val="0"/>
      <w:adjustRightInd w:val="0"/>
      <w:jc w:val="center"/>
      <w:outlineLvl w:val="3"/>
    </w:pPr>
    <w:rPr>
      <w:rFonts w:ascii="Arial-BoldMT" w:eastAsia="Times New Roman" w:hAnsi="Arial-BoldMT"/>
      <w:bCs/>
      <w:sz w:val="32"/>
      <w:szCs w:val="32"/>
    </w:rPr>
  </w:style>
  <w:style w:type="paragraph" w:styleId="Heading5">
    <w:name w:val="heading 5"/>
    <w:basedOn w:val="Normal"/>
    <w:next w:val="Normal"/>
    <w:link w:val="Heading5Char"/>
    <w:qFormat/>
    <w:rsid w:val="00C230E4"/>
    <w:pPr>
      <w:keepNext/>
      <w:numPr>
        <w:ilvl w:val="4"/>
        <w:numId w:val="13"/>
      </w:numPr>
      <w:autoSpaceDE w:val="0"/>
      <w:autoSpaceDN w:val="0"/>
      <w:adjustRightInd w:val="0"/>
      <w:jc w:val="center"/>
      <w:outlineLvl w:val="4"/>
    </w:pPr>
    <w:rPr>
      <w:rFonts w:ascii="Arial-BoldMT" w:eastAsia="Times New Roman" w:hAnsi="Arial-BoldMT"/>
      <w:bCs/>
      <w:sz w:val="20"/>
      <w:szCs w:val="20"/>
    </w:rPr>
  </w:style>
  <w:style w:type="paragraph" w:styleId="Heading6">
    <w:name w:val="heading 6"/>
    <w:basedOn w:val="Normal"/>
    <w:next w:val="Normal"/>
    <w:link w:val="Heading6Char"/>
    <w:qFormat/>
    <w:rsid w:val="00C230E4"/>
    <w:pPr>
      <w:keepNext/>
      <w:numPr>
        <w:ilvl w:val="5"/>
        <w:numId w:val="13"/>
      </w:numPr>
      <w:autoSpaceDE w:val="0"/>
      <w:autoSpaceDN w:val="0"/>
      <w:adjustRightInd w:val="0"/>
      <w:spacing w:line="360" w:lineRule="auto"/>
      <w:outlineLvl w:val="5"/>
    </w:pPr>
    <w:rPr>
      <w:rFonts w:ascii="ArialMT" w:eastAsia="Times New Roman" w:hAnsi="ArialMT"/>
      <w:bCs/>
      <w:sz w:val="20"/>
      <w:szCs w:val="20"/>
    </w:rPr>
  </w:style>
  <w:style w:type="paragraph" w:styleId="Heading9">
    <w:name w:val="heading 9"/>
    <w:basedOn w:val="Normal"/>
    <w:next w:val="Normal"/>
    <w:link w:val="Heading9Char"/>
    <w:qFormat/>
    <w:rsid w:val="00C230E4"/>
    <w:pPr>
      <w:spacing w:before="240" w:after="6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Heading 2 Numbering"/>
    <w:uiPriority w:val="99"/>
    <w:rsid w:val="00C230E4"/>
    <w:pPr>
      <w:numPr>
        <w:numId w:val="1"/>
      </w:numPr>
    </w:pPr>
  </w:style>
  <w:style w:type="character" w:customStyle="1" w:styleId="Heading1Char">
    <w:name w:val="Heading 1 Char"/>
    <w:basedOn w:val="DefaultParagraphFont"/>
    <w:link w:val="Heading1"/>
    <w:rsid w:val="00C230E4"/>
    <w:rPr>
      <w:rFonts w:ascii="Arial Bold" w:eastAsia="Times New Roman" w:hAnsi="Arial Bold" w:cs="Arial"/>
      <w:b/>
      <w:bCs/>
      <w:color w:val="000000"/>
      <w:kern w:val="32"/>
      <w:sz w:val="24"/>
      <w:szCs w:val="32"/>
      <w:lang w:val="en-US"/>
    </w:rPr>
  </w:style>
  <w:style w:type="character" w:customStyle="1" w:styleId="Heading2Char">
    <w:name w:val="Heading 2 Char"/>
    <w:basedOn w:val="DefaultParagraphFont"/>
    <w:link w:val="Heading2"/>
    <w:rsid w:val="00C230E4"/>
    <w:rPr>
      <w:rFonts w:ascii="Arial Bold" w:eastAsia="Times New Roman" w:hAnsi="Arial Bold" w:cs="Arial"/>
      <w:b/>
      <w:bCs/>
      <w:iCs/>
      <w:caps/>
      <w:color w:val="000000"/>
      <w:sz w:val="24"/>
      <w:szCs w:val="28"/>
      <w:lang w:val="en-US"/>
    </w:rPr>
  </w:style>
  <w:style w:type="character" w:customStyle="1" w:styleId="Heading3Char">
    <w:name w:val="Heading 3 Char"/>
    <w:basedOn w:val="DefaultParagraphFont"/>
    <w:link w:val="Heading3"/>
    <w:rsid w:val="00C230E4"/>
    <w:rPr>
      <w:rFonts w:ascii="Arial Bold" w:eastAsia="Times New Roman" w:hAnsi="Arial Bold" w:cs="Arial"/>
      <w:b/>
      <w:color w:val="000000"/>
      <w:sz w:val="24"/>
      <w:szCs w:val="24"/>
    </w:rPr>
  </w:style>
  <w:style w:type="character" w:customStyle="1" w:styleId="Heading4Char">
    <w:name w:val="Heading 4 Char"/>
    <w:basedOn w:val="DefaultParagraphFont"/>
    <w:link w:val="Heading4"/>
    <w:rsid w:val="00C230E4"/>
    <w:rPr>
      <w:rFonts w:ascii="Arial-BoldMT" w:eastAsia="Times New Roman" w:hAnsi="Arial-BoldMT" w:cs="Arial"/>
      <w:b/>
      <w:bCs/>
      <w:color w:val="000000"/>
      <w:sz w:val="32"/>
      <w:szCs w:val="32"/>
      <w:lang w:val="en-US"/>
    </w:rPr>
  </w:style>
  <w:style w:type="character" w:customStyle="1" w:styleId="Heading5Char">
    <w:name w:val="Heading 5 Char"/>
    <w:basedOn w:val="DefaultParagraphFont"/>
    <w:link w:val="Heading5"/>
    <w:rsid w:val="00C230E4"/>
    <w:rPr>
      <w:rFonts w:ascii="Arial-BoldMT" w:eastAsia="Times New Roman" w:hAnsi="Arial-BoldMT" w:cs="Arial"/>
      <w:b/>
      <w:bCs/>
      <w:color w:val="000000"/>
      <w:sz w:val="20"/>
      <w:szCs w:val="20"/>
      <w:lang w:val="en-US"/>
    </w:rPr>
  </w:style>
  <w:style w:type="character" w:customStyle="1" w:styleId="Heading6Char">
    <w:name w:val="Heading 6 Char"/>
    <w:basedOn w:val="DefaultParagraphFont"/>
    <w:link w:val="Heading6"/>
    <w:rsid w:val="00C230E4"/>
    <w:rPr>
      <w:rFonts w:ascii="ArialMT" w:eastAsia="Times New Roman" w:hAnsi="ArialMT" w:cs="Arial"/>
      <w:b/>
      <w:bCs/>
      <w:color w:val="000000"/>
      <w:sz w:val="20"/>
      <w:szCs w:val="20"/>
      <w:lang w:val="en-US"/>
    </w:rPr>
  </w:style>
  <w:style w:type="character" w:customStyle="1" w:styleId="Heading9Char">
    <w:name w:val="Heading 9 Char"/>
    <w:basedOn w:val="DefaultParagraphFont"/>
    <w:link w:val="Heading9"/>
    <w:rsid w:val="00C230E4"/>
    <w:rPr>
      <w:rFonts w:ascii="Arial" w:eastAsia="Times New Roman" w:hAnsi="Arial" w:cs="Arial"/>
      <w:color w:val="000000"/>
      <w:lang w:val="en-US"/>
    </w:rPr>
  </w:style>
  <w:style w:type="paragraph" w:styleId="TOC1">
    <w:name w:val="toc 1"/>
    <w:basedOn w:val="Normal"/>
    <w:next w:val="Normal"/>
    <w:autoRedefine/>
    <w:uiPriority w:val="39"/>
    <w:qFormat/>
    <w:rsid w:val="008C5580"/>
    <w:pPr>
      <w:tabs>
        <w:tab w:val="right" w:leader="dot" w:pos="9589"/>
      </w:tabs>
      <w:spacing w:after="120"/>
      <w:ind w:left="851" w:hanging="851"/>
    </w:pPr>
    <w:rPr>
      <w:rFonts w:ascii="Arial" w:eastAsia="Times New Roman" w:hAnsi="Arial"/>
      <w:b w:val="0"/>
      <w:caps/>
      <w:noProof/>
      <w:sz w:val="22"/>
    </w:rPr>
  </w:style>
  <w:style w:type="paragraph" w:styleId="TOC2">
    <w:name w:val="toc 2"/>
    <w:basedOn w:val="Normal"/>
    <w:next w:val="Normal"/>
    <w:autoRedefine/>
    <w:uiPriority w:val="39"/>
    <w:unhideWhenUsed/>
    <w:rsid w:val="00C230E4"/>
    <w:pPr>
      <w:tabs>
        <w:tab w:val="left" w:pos="1418"/>
        <w:tab w:val="left" w:pos="1843"/>
        <w:tab w:val="right" w:leader="dot" w:pos="9589"/>
      </w:tabs>
      <w:spacing w:after="100"/>
      <w:ind w:left="1417" w:right="193" w:hanging="958"/>
    </w:pPr>
    <w:rPr>
      <w:rFonts w:eastAsia="Times New Roman"/>
      <w:caps/>
      <w:noProof/>
      <w:color w:val="auto"/>
      <w:sz w:val="22"/>
      <w:lang w:val="en-ZA"/>
    </w:rPr>
  </w:style>
  <w:style w:type="paragraph" w:styleId="TOC3">
    <w:name w:val="toc 3"/>
    <w:basedOn w:val="Normal"/>
    <w:next w:val="Normal"/>
    <w:autoRedefine/>
    <w:uiPriority w:val="39"/>
    <w:unhideWhenUsed/>
    <w:qFormat/>
    <w:rsid w:val="00C230E4"/>
    <w:pPr>
      <w:tabs>
        <w:tab w:val="left" w:pos="1560"/>
        <w:tab w:val="right" w:leader="dot" w:pos="9589"/>
      </w:tabs>
      <w:spacing w:after="100"/>
      <w:ind w:left="1560" w:right="193" w:hanging="1101"/>
    </w:pPr>
    <w:rPr>
      <w:rFonts w:eastAsia="Times New Roman"/>
      <w:noProof/>
      <w:sz w:val="22"/>
    </w:rPr>
  </w:style>
  <w:style w:type="paragraph" w:styleId="Header">
    <w:name w:val="header"/>
    <w:basedOn w:val="Normal"/>
    <w:link w:val="HeaderChar"/>
    <w:rsid w:val="00C230E4"/>
    <w:pPr>
      <w:tabs>
        <w:tab w:val="center" w:pos="4153"/>
        <w:tab w:val="right" w:pos="8306"/>
      </w:tabs>
    </w:pPr>
    <w:rPr>
      <w:rFonts w:eastAsia="Times New Roman"/>
    </w:rPr>
  </w:style>
  <w:style w:type="character" w:customStyle="1" w:styleId="HeaderChar">
    <w:name w:val="Header Char"/>
    <w:basedOn w:val="DefaultParagraphFont"/>
    <w:link w:val="Header"/>
    <w:rsid w:val="00C230E4"/>
    <w:rPr>
      <w:rFonts w:ascii="Arial" w:eastAsia="Times New Roman" w:hAnsi="Arial" w:cs="Arial"/>
      <w:color w:val="000000"/>
      <w:sz w:val="24"/>
      <w:szCs w:val="24"/>
      <w:lang w:val="en-US"/>
    </w:rPr>
  </w:style>
  <w:style w:type="paragraph" w:styleId="Footer">
    <w:name w:val="footer"/>
    <w:basedOn w:val="Normal"/>
    <w:link w:val="FooterChar"/>
    <w:uiPriority w:val="99"/>
    <w:rsid w:val="00C230E4"/>
    <w:pPr>
      <w:tabs>
        <w:tab w:val="center" w:pos="4153"/>
        <w:tab w:val="right" w:pos="8306"/>
      </w:tabs>
    </w:pPr>
    <w:rPr>
      <w:rFonts w:eastAsia="Times New Roman"/>
    </w:rPr>
  </w:style>
  <w:style w:type="character" w:customStyle="1" w:styleId="FooterChar">
    <w:name w:val="Footer Char"/>
    <w:basedOn w:val="DefaultParagraphFont"/>
    <w:link w:val="Footer"/>
    <w:uiPriority w:val="99"/>
    <w:rsid w:val="00C230E4"/>
    <w:rPr>
      <w:rFonts w:ascii="Arial" w:eastAsia="Times New Roman" w:hAnsi="Arial" w:cs="Arial"/>
      <w:color w:val="000000"/>
      <w:sz w:val="24"/>
      <w:szCs w:val="24"/>
      <w:lang w:val="en-US"/>
    </w:rPr>
  </w:style>
  <w:style w:type="paragraph" w:styleId="ListNumber">
    <w:name w:val="List Number"/>
    <w:basedOn w:val="Normal"/>
    <w:next w:val="Para2"/>
    <w:uiPriority w:val="99"/>
    <w:rsid w:val="00F91A9C"/>
    <w:pPr>
      <w:numPr>
        <w:numId w:val="33"/>
      </w:numPr>
      <w:spacing w:before="300"/>
      <w:contextualSpacing/>
    </w:pPr>
    <w:rPr>
      <w:rFonts w:eastAsia="Times New Roman"/>
      <w:sz w:val="24"/>
    </w:rPr>
  </w:style>
  <w:style w:type="paragraph" w:styleId="ListNumber2">
    <w:name w:val="List Number 2"/>
    <w:basedOn w:val="Normal"/>
    <w:uiPriority w:val="99"/>
    <w:rsid w:val="00FC34FC"/>
    <w:pPr>
      <w:numPr>
        <w:ilvl w:val="1"/>
        <w:numId w:val="33"/>
      </w:numPr>
      <w:tabs>
        <w:tab w:val="clear" w:pos="9752"/>
      </w:tabs>
      <w:spacing w:before="240" w:after="120"/>
      <w:jc w:val="both"/>
    </w:pPr>
    <w:rPr>
      <w:rFonts w:ascii="Arial" w:eastAsia="Times New Roman" w:hAnsi="Arial"/>
      <w:b w:val="0"/>
      <w:sz w:val="22"/>
    </w:rPr>
  </w:style>
  <w:style w:type="paragraph" w:styleId="ListNumber3">
    <w:name w:val="List Number 3"/>
    <w:basedOn w:val="Normal"/>
    <w:next w:val="Para3"/>
    <w:uiPriority w:val="99"/>
    <w:rsid w:val="002B501D"/>
    <w:pPr>
      <w:keepNext/>
      <w:numPr>
        <w:ilvl w:val="2"/>
        <w:numId w:val="33"/>
      </w:numPr>
      <w:tabs>
        <w:tab w:val="clear" w:pos="9752"/>
      </w:tabs>
      <w:spacing w:after="120"/>
      <w:jc w:val="both"/>
    </w:pPr>
    <w:rPr>
      <w:rFonts w:ascii="Arial" w:eastAsia="Times New Roman" w:hAnsi="Arial"/>
      <w:b w:val="0"/>
      <w:sz w:val="22"/>
    </w:rPr>
  </w:style>
  <w:style w:type="paragraph" w:styleId="BodyText">
    <w:name w:val="Body Text"/>
    <w:basedOn w:val="Normal"/>
    <w:link w:val="BodyTextChar"/>
    <w:uiPriority w:val="99"/>
    <w:semiHidden/>
    <w:unhideWhenUsed/>
    <w:rsid w:val="00C230E4"/>
    <w:pPr>
      <w:spacing w:after="120"/>
    </w:pPr>
    <w:rPr>
      <w:rFonts w:eastAsia="Times New Roman"/>
    </w:rPr>
  </w:style>
  <w:style w:type="character" w:customStyle="1" w:styleId="BodyTextChar">
    <w:name w:val="Body Text Char"/>
    <w:basedOn w:val="DefaultParagraphFont"/>
    <w:link w:val="BodyText"/>
    <w:uiPriority w:val="99"/>
    <w:semiHidden/>
    <w:rsid w:val="00C230E4"/>
    <w:rPr>
      <w:rFonts w:ascii="Arial" w:eastAsia="Times New Roman" w:hAnsi="Arial" w:cs="Arial"/>
      <w:color w:val="000000"/>
      <w:sz w:val="24"/>
      <w:szCs w:val="24"/>
      <w:lang w:val="en-US"/>
    </w:rPr>
  </w:style>
  <w:style w:type="paragraph" w:styleId="BodyTextIndent">
    <w:name w:val="Body Text Indent"/>
    <w:basedOn w:val="Normal"/>
    <w:link w:val="BodyTextIndentChar"/>
    <w:rsid w:val="00C230E4"/>
    <w:pPr>
      <w:spacing w:line="360" w:lineRule="auto"/>
      <w:ind w:left="1440" w:hanging="538"/>
      <w:jc w:val="both"/>
    </w:pPr>
    <w:rPr>
      <w:rFonts w:eastAsia="Times New Roman"/>
      <w:sz w:val="20"/>
      <w:lang w:val="en-ZA"/>
    </w:rPr>
  </w:style>
  <w:style w:type="character" w:customStyle="1" w:styleId="BodyTextIndentChar">
    <w:name w:val="Body Text Indent Char"/>
    <w:basedOn w:val="DefaultParagraphFont"/>
    <w:link w:val="BodyTextIndent"/>
    <w:rsid w:val="00C230E4"/>
    <w:rPr>
      <w:rFonts w:ascii="Arial" w:eastAsia="Times New Roman" w:hAnsi="Arial" w:cs="Arial"/>
      <w:color w:val="000000"/>
      <w:sz w:val="20"/>
      <w:szCs w:val="24"/>
    </w:rPr>
  </w:style>
  <w:style w:type="paragraph" w:styleId="BodyTextFirstIndent2">
    <w:name w:val="Body Text First Indent 2"/>
    <w:basedOn w:val="BodyTextIndent"/>
    <w:link w:val="BodyTextFirstIndent2Char"/>
    <w:rsid w:val="00C230E4"/>
    <w:pPr>
      <w:spacing w:after="120" w:line="240" w:lineRule="auto"/>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basedOn w:val="BodyTextIndentChar"/>
    <w:link w:val="BodyTextFirstIndent2"/>
    <w:rsid w:val="00C230E4"/>
    <w:rPr>
      <w:rFonts w:ascii="Times New Roman" w:eastAsia="Times New Roman" w:hAnsi="Times New Roman" w:cs="Times New Roman"/>
      <w:color w:val="000000"/>
      <w:sz w:val="24"/>
      <w:szCs w:val="24"/>
      <w:lang w:val="en-US"/>
    </w:rPr>
  </w:style>
  <w:style w:type="paragraph" w:styleId="BodyText2">
    <w:name w:val="Body Text 2"/>
    <w:basedOn w:val="Normal"/>
    <w:link w:val="BodyText2Char"/>
    <w:rsid w:val="00C230E4"/>
    <w:pPr>
      <w:spacing w:after="120" w:line="480" w:lineRule="auto"/>
    </w:pPr>
    <w:rPr>
      <w:rFonts w:eastAsia="Times New Roman"/>
    </w:rPr>
  </w:style>
  <w:style w:type="character" w:customStyle="1" w:styleId="BodyText2Char">
    <w:name w:val="Body Text 2 Char"/>
    <w:basedOn w:val="DefaultParagraphFont"/>
    <w:link w:val="BodyText2"/>
    <w:rsid w:val="00C230E4"/>
    <w:rPr>
      <w:rFonts w:ascii="Arial" w:eastAsia="Times New Roman" w:hAnsi="Arial" w:cs="Arial"/>
      <w:color w:val="000000"/>
      <w:sz w:val="24"/>
      <w:szCs w:val="24"/>
      <w:lang w:val="en-US"/>
    </w:rPr>
  </w:style>
  <w:style w:type="paragraph" w:styleId="BodyTextIndent2">
    <w:name w:val="Body Text Indent 2"/>
    <w:aliases w:val="Paragraphs"/>
    <w:basedOn w:val="Normal"/>
    <w:link w:val="BodyTextIndent2Char"/>
    <w:rsid w:val="00C230E4"/>
    <w:pPr>
      <w:spacing w:before="60" w:after="60"/>
      <w:ind w:left="709"/>
      <w:jc w:val="both"/>
    </w:pPr>
    <w:rPr>
      <w:rFonts w:eastAsia="Times New Roman"/>
      <w:sz w:val="22"/>
      <w:lang w:val="en-ZA"/>
    </w:rPr>
  </w:style>
  <w:style w:type="character" w:customStyle="1" w:styleId="BodyTextIndent2Char">
    <w:name w:val="Body Text Indent 2 Char"/>
    <w:aliases w:val="Paragraphs Char"/>
    <w:basedOn w:val="DefaultParagraphFont"/>
    <w:link w:val="BodyTextIndent2"/>
    <w:rsid w:val="00C230E4"/>
    <w:rPr>
      <w:rFonts w:ascii="Arial" w:eastAsia="Times New Roman" w:hAnsi="Arial" w:cs="Arial"/>
      <w:color w:val="000000"/>
      <w:szCs w:val="24"/>
    </w:rPr>
  </w:style>
  <w:style w:type="paragraph" w:styleId="BodyTextIndent3">
    <w:name w:val="Body Text Indent 3"/>
    <w:basedOn w:val="Normal"/>
    <w:link w:val="BodyTextIndent3Char"/>
    <w:rsid w:val="00C230E4"/>
    <w:pPr>
      <w:spacing w:line="360" w:lineRule="auto"/>
      <w:ind w:left="2160"/>
      <w:jc w:val="both"/>
    </w:pPr>
    <w:rPr>
      <w:rFonts w:eastAsia="Times New Roman"/>
      <w:sz w:val="20"/>
      <w:lang w:val="en-ZA"/>
    </w:rPr>
  </w:style>
  <w:style w:type="character" w:customStyle="1" w:styleId="BodyTextIndent3Char">
    <w:name w:val="Body Text Indent 3 Char"/>
    <w:basedOn w:val="DefaultParagraphFont"/>
    <w:link w:val="BodyTextIndent3"/>
    <w:rsid w:val="00C230E4"/>
    <w:rPr>
      <w:rFonts w:ascii="Arial" w:eastAsia="Times New Roman" w:hAnsi="Arial" w:cs="Arial"/>
      <w:color w:val="000000"/>
      <w:sz w:val="20"/>
      <w:szCs w:val="24"/>
    </w:rPr>
  </w:style>
  <w:style w:type="character" w:styleId="Hyperlink">
    <w:name w:val="Hyperlink"/>
    <w:basedOn w:val="DefaultParagraphFont"/>
    <w:uiPriority w:val="99"/>
    <w:rsid w:val="00C230E4"/>
    <w:rPr>
      <w:color w:val="0000FF"/>
      <w:u w:val="single"/>
    </w:rPr>
  </w:style>
  <w:style w:type="paragraph" w:customStyle="1" w:styleId="SH1">
    <w:name w:val="SH1"/>
    <w:basedOn w:val="Normal"/>
    <w:next w:val="BodyText"/>
    <w:rsid w:val="00C230E4"/>
    <w:pPr>
      <w:numPr>
        <w:numId w:val="13"/>
      </w:numPr>
    </w:pPr>
    <w:rPr>
      <w:rFonts w:eastAsia="Times New Roman"/>
      <w:caps/>
      <w:sz w:val="20"/>
      <w:u w:val="single"/>
    </w:rPr>
  </w:style>
  <w:style w:type="paragraph" w:customStyle="1" w:styleId="MSParagraph">
    <w:name w:val="MS Paragraph"/>
    <w:qFormat/>
    <w:rsid w:val="00C230E4"/>
    <w:pPr>
      <w:tabs>
        <w:tab w:val="left" w:pos="851"/>
      </w:tabs>
      <w:spacing w:before="120"/>
      <w:jc w:val="both"/>
    </w:pPr>
    <w:rPr>
      <w:rFonts w:eastAsia="Times New Roman"/>
      <w:szCs w:val="24"/>
      <w:lang w:val="en-US" w:eastAsia="en-GB"/>
    </w:rPr>
  </w:style>
  <w:style w:type="paragraph" w:customStyle="1" w:styleId="MSHeading1">
    <w:name w:val="MS Heading 1"/>
    <w:basedOn w:val="Normal"/>
    <w:next w:val="Normal"/>
    <w:qFormat/>
    <w:rsid w:val="00C230E4"/>
    <w:pPr>
      <w:numPr>
        <w:numId w:val="14"/>
      </w:numPr>
      <w:spacing w:before="240" w:after="120"/>
    </w:pPr>
    <w:rPr>
      <w:rFonts w:eastAsia="Times New Roman"/>
    </w:rPr>
  </w:style>
  <w:style w:type="paragraph" w:customStyle="1" w:styleId="MSBullets1">
    <w:name w:val="MS Bullets 1"/>
    <w:basedOn w:val="Normal"/>
    <w:qFormat/>
    <w:rsid w:val="00C230E4"/>
    <w:pPr>
      <w:numPr>
        <w:numId w:val="15"/>
      </w:numPr>
      <w:spacing w:before="60" w:after="60"/>
      <w:jc w:val="both"/>
    </w:pPr>
    <w:rPr>
      <w:rFonts w:eastAsia="Times New Roman"/>
      <w:sz w:val="22"/>
      <w:szCs w:val="20"/>
      <w:lang w:val="en-ZA"/>
    </w:rPr>
  </w:style>
  <w:style w:type="paragraph" w:customStyle="1" w:styleId="MSBullets2">
    <w:name w:val="MS Bullets 2"/>
    <w:basedOn w:val="MSBullets1"/>
    <w:qFormat/>
    <w:rsid w:val="00C230E4"/>
    <w:pPr>
      <w:numPr>
        <w:numId w:val="16"/>
      </w:numPr>
    </w:pPr>
  </w:style>
  <w:style w:type="paragraph" w:customStyle="1" w:styleId="MSHeading2">
    <w:name w:val="MS Heading 2"/>
    <w:basedOn w:val="MSHeading1"/>
    <w:autoRedefine/>
    <w:qFormat/>
    <w:rsid w:val="00C230E4"/>
    <w:pPr>
      <w:numPr>
        <w:ilvl w:val="1"/>
        <w:numId w:val="17"/>
      </w:numPr>
    </w:pPr>
    <w:rPr>
      <w:b w:val="0"/>
    </w:rPr>
  </w:style>
  <w:style w:type="numbering" w:customStyle="1" w:styleId="H1Numbers">
    <w:name w:val="H1 Numbers"/>
    <w:uiPriority w:val="99"/>
    <w:rsid w:val="00C230E4"/>
    <w:pPr>
      <w:numPr>
        <w:numId w:val="19"/>
      </w:numPr>
    </w:pPr>
  </w:style>
  <w:style w:type="numbering" w:customStyle="1" w:styleId="HS1Numbers">
    <w:name w:val="HS1 Numbers"/>
    <w:uiPriority w:val="99"/>
    <w:rsid w:val="00C230E4"/>
    <w:pPr>
      <w:numPr>
        <w:numId w:val="8"/>
      </w:numPr>
    </w:pPr>
  </w:style>
  <w:style w:type="paragraph" w:customStyle="1" w:styleId="H1NumberList">
    <w:name w:val="H1 Number List"/>
    <w:basedOn w:val="Normal"/>
    <w:rsid w:val="00C230E4"/>
    <w:pPr>
      <w:numPr>
        <w:numId w:val="21"/>
      </w:numPr>
    </w:pPr>
    <w:rPr>
      <w:rFonts w:eastAsia="Times New Roman"/>
    </w:rPr>
  </w:style>
  <w:style w:type="numbering" w:customStyle="1" w:styleId="Numbers">
    <w:name w:val="Numbers"/>
    <w:uiPriority w:val="99"/>
    <w:rsid w:val="006343DE"/>
    <w:pPr>
      <w:numPr>
        <w:numId w:val="22"/>
      </w:numPr>
    </w:pPr>
  </w:style>
  <w:style w:type="numbering" w:customStyle="1" w:styleId="Style1">
    <w:name w:val="Style1"/>
    <w:uiPriority w:val="99"/>
    <w:rsid w:val="003C5823"/>
    <w:pPr>
      <w:numPr>
        <w:numId w:val="23"/>
      </w:numPr>
    </w:pPr>
  </w:style>
  <w:style w:type="numbering" w:customStyle="1" w:styleId="Style2">
    <w:name w:val="Style2"/>
    <w:uiPriority w:val="99"/>
    <w:rsid w:val="003C5823"/>
    <w:pPr>
      <w:numPr>
        <w:numId w:val="25"/>
      </w:numPr>
    </w:pPr>
  </w:style>
  <w:style w:type="numbering" w:customStyle="1" w:styleId="ListNumber-Civ">
    <w:name w:val="List Number - Civ"/>
    <w:uiPriority w:val="99"/>
    <w:rsid w:val="00DB26D0"/>
    <w:pPr>
      <w:numPr>
        <w:numId w:val="33"/>
      </w:numPr>
    </w:pPr>
  </w:style>
  <w:style w:type="paragraph" w:customStyle="1" w:styleId="Para1">
    <w:name w:val="Para 1"/>
    <w:basedOn w:val="ListNumber"/>
    <w:qFormat/>
    <w:rsid w:val="00DB26D0"/>
    <w:pPr>
      <w:numPr>
        <w:numId w:val="0"/>
      </w:numPr>
      <w:spacing w:before="120" w:after="120"/>
      <w:jc w:val="both"/>
    </w:pPr>
    <w:rPr>
      <w:rFonts w:ascii="Arial" w:hAnsi="Arial"/>
      <w:b w:val="0"/>
      <w:sz w:val="22"/>
    </w:rPr>
  </w:style>
  <w:style w:type="paragraph" w:customStyle="1" w:styleId="Para2">
    <w:name w:val="Para 2"/>
    <w:basedOn w:val="Para1"/>
    <w:qFormat/>
    <w:rsid w:val="00355003"/>
    <w:pPr>
      <w:ind w:left="709"/>
      <w:contextualSpacing w:val="0"/>
    </w:pPr>
  </w:style>
  <w:style w:type="paragraph" w:customStyle="1" w:styleId="Bullets1-Paragraph">
    <w:name w:val="Bullets 1 - Paragraph"/>
    <w:basedOn w:val="ListNumber"/>
    <w:qFormat/>
    <w:rsid w:val="00075AC7"/>
    <w:pPr>
      <w:numPr>
        <w:numId w:val="35"/>
      </w:numPr>
      <w:tabs>
        <w:tab w:val="clear" w:pos="9752"/>
      </w:tabs>
      <w:spacing w:before="60" w:after="60"/>
      <w:ind w:left="1134" w:hanging="425"/>
      <w:contextualSpacing w:val="0"/>
      <w:jc w:val="both"/>
    </w:pPr>
    <w:rPr>
      <w:rFonts w:ascii="Arial" w:hAnsi="Arial"/>
      <w:b w:val="0"/>
      <w:sz w:val="22"/>
    </w:rPr>
  </w:style>
  <w:style w:type="paragraph" w:customStyle="1" w:styleId="Para3">
    <w:name w:val="Para 3"/>
    <w:basedOn w:val="Para2"/>
    <w:qFormat/>
    <w:rsid w:val="00382B6B"/>
    <w:pPr>
      <w:ind w:left="992"/>
    </w:pPr>
  </w:style>
  <w:style w:type="paragraph" w:styleId="BalloonText">
    <w:name w:val="Balloon Text"/>
    <w:basedOn w:val="Normal"/>
    <w:link w:val="BalloonTextChar"/>
    <w:uiPriority w:val="99"/>
    <w:semiHidden/>
    <w:unhideWhenUsed/>
    <w:rsid w:val="00C127B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27B9"/>
    <w:rPr>
      <w:rFonts w:ascii="Tahoma" w:hAnsi="Tahoma" w:cs="Tahoma"/>
      <w:b/>
      <w:sz w:val="16"/>
      <w:szCs w:val="16"/>
      <w:lang w:val="en-GB"/>
    </w:rPr>
  </w:style>
  <w:style w:type="table" w:styleId="TableGrid">
    <w:name w:val="Table Grid"/>
    <w:basedOn w:val="TableNormal"/>
    <w:uiPriority w:val="59"/>
    <w:rsid w:val="00AE6856"/>
    <w:rPr>
      <w:rFonts w:ascii="Calibri" w:eastAsia="Calibri" w:hAnsi="Calibri" w:cs="Times New Roman"/>
      <w:color w:val="auto"/>
      <w:sz w:val="20"/>
      <w:szCs w:val="20"/>
      <w:lang w:eastAsia="en-Z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Heading">
    <w:name w:val="Table Heading"/>
    <w:basedOn w:val="Normal"/>
    <w:qFormat/>
    <w:rsid w:val="00AE6856"/>
    <w:pPr>
      <w:tabs>
        <w:tab w:val="clear" w:pos="9752"/>
      </w:tabs>
      <w:spacing w:after="120"/>
      <w:jc w:val="center"/>
    </w:pPr>
    <w:rPr>
      <w:rFonts w:eastAsia="Calibri"/>
      <w:sz w:val="20"/>
      <w:szCs w:val="20"/>
    </w:rPr>
  </w:style>
  <w:style w:type="paragraph" w:customStyle="1" w:styleId="Table-Singlerowsentries">
    <w:name w:val="Table - Single rows/entries"/>
    <w:basedOn w:val="Normal"/>
    <w:qFormat/>
    <w:rsid w:val="00AE6856"/>
    <w:pPr>
      <w:tabs>
        <w:tab w:val="clear" w:pos="9752"/>
      </w:tabs>
      <w:spacing w:before="60" w:after="60"/>
      <w:ind w:left="51"/>
    </w:pPr>
    <w:rPr>
      <w:rFonts w:ascii="Arial" w:eastAsia="Calibri" w:hAnsi="Arial"/>
      <w:b w:val="0"/>
      <w:sz w:val="18"/>
      <w:szCs w:val="20"/>
      <w:lang w:eastAsia="en-ZA"/>
    </w:rPr>
  </w:style>
  <w:style w:type="paragraph" w:customStyle="1" w:styleId="Table-PlainText">
    <w:name w:val="Table - Plain Text"/>
    <w:basedOn w:val="Normal"/>
    <w:qFormat/>
    <w:rsid w:val="00E1550C"/>
    <w:pPr>
      <w:tabs>
        <w:tab w:val="clear" w:pos="9752"/>
      </w:tabs>
      <w:spacing w:before="40" w:after="40"/>
      <w:ind w:left="51"/>
    </w:pPr>
    <w:rPr>
      <w:rFonts w:ascii="Arial" w:eastAsia="Calibri" w:hAnsi="Arial"/>
      <w:b w:val="0"/>
      <w:sz w:val="22"/>
      <w:szCs w:val="20"/>
      <w:lang w:eastAsia="en-ZA"/>
    </w:rPr>
  </w:style>
  <w:style w:type="paragraph" w:customStyle="1" w:styleId="TableSub-Heading">
    <w:name w:val="Table Sub-Heading"/>
    <w:basedOn w:val="Table-Singlerowsentries"/>
    <w:next w:val="Table-PlainText"/>
    <w:qFormat/>
    <w:rsid w:val="00AE6856"/>
    <w:pPr>
      <w:spacing w:before="120" w:after="120"/>
    </w:pPr>
    <w:rPr>
      <w:rFonts w:cs="Times New Roman"/>
      <w:b/>
      <w:color w:val="auto"/>
    </w:rPr>
  </w:style>
  <w:style w:type="paragraph" w:customStyle="1" w:styleId="Para4">
    <w:name w:val="Para 4"/>
    <w:basedOn w:val="Para3"/>
    <w:qFormat/>
    <w:rsid w:val="004D308D"/>
    <w:pPr>
      <w:ind w:left="1134"/>
    </w:pPr>
  </w:style>
  <w:style w:type="paragraph" w:customStyle="1" w:styleId="Heading-Sections">
    <w:name w:val="Heading - Sections"/>
    <w:basedOn w:val="Normal"/>
    <w:qFormat/>
    <w:rsid w:val="00F8644B"/>
    <w:pPr>
      <w:spacing w:before="240"/>
    </w:pPr>
  </w:style>
  <w:style w:type="character" w:styleId="FollowedHyperlink">
    <w:name w:val="FollowedHyperlink"/>
    <w:basedOn w:val="DefaultParagraphFont"/>
    <w:uiPriority w:val="99"/>
    <w:semiHidden/>
    <w:unhideWhenUsed/>
    <w:rsid w:val="00F8644B"/>
    <w:rPr>
      <w:color w:val="800080" w:themeColor="followedHyperlink"/>
      <w:u w:val="single"/>
    </w:rPr>
  </w:style>
  <w:style w:type="paragraph" w:customStyle="1" w:styleId="Table-11ptparatext">
    <w:name w:val="Table - 11pt para/text"/>
    <w:basedOn w:val="Table-Singlerowsentries"/>
    <w:qFormat/>
    <w:rsid w:val="00703261"/>
    <w:pPr>
      <w:spacing w:before="50" w:after="50"/>
    </w:pPr>
    <w:rPr>
      <w:rFonts w:cs="Times New Roman"/>
      <w:color w:val="auto"/>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Section%20G/20120510%20SECTION%20G%20PRM-forms%20CJB%20Rev%20MS01.docx" TargetMode="External"/><Relationship Id="rId18" Type="http://schemas.openxmlformats.org/officeDocument/2006/relationships/hyperlink" Target="http://www.publicworks.gov.za." TargetMode="External"/><Relationship Id="rId26" Type="http://schemas.openxmlformats.org/officeDocument/2006/relationships/hyperlink" Target="20120510%20SECTION%20F%20Design%20CJB%20Rev%20MS03.docx" TargetMode="External"/><Relationship Id="rId3" Type="http://schemas.openxmlformats.org/officeDocument/2006/relationships/styles" Target="styles.xml"/><Relationship Id="rId21" Type="http://schemas.openxmlformats.org/officeDocument/2006/relationships/hyperlink" Target="../Section%20A/20120510%20SECTION%20A%20General%20CJB%20Rev%20MS03.docx" TargetMode="External"/><Relationship Id="rId7" Type="http://schemas.openxmlformats.org/officeDocument/2006/relationships/endnotes" Target="endnotes.xml"/><Relationship Id="rId12" Type="http://schemas.openxmlformats.org/officeDocument/2006/relationships/hyperlink" Target="../Section%20G/20120510%20SECTION%20G%20PRM-forms%20CJB%20Rev%20MS01.docx" TargetMode="External"/><Relationship Id="rId17" Type="http://schemas.openxmlformats.org/officeDocument/2006/relationships/hyperlink" Target="../Section%20H/20120510%20SECTION%20H%20Reference%20Documents%20%20Rev%20MS01.docx" TargetMode="External"/><Relationship Id="rId25" Type="http://schemas.openxmlformats.org/officeDocument/2006/relationships/hyperlink" Target="20120510%20SECTION%20F%20Design%20CJB%20Rev%20MS03.docx" TargetMode="External"/><Relationship Id="rId2" Type="http://schemas.openxmlformats.org/officeDocument/2006/relationships/numbering" Target="numbering.xml"/><Relationship Id="rId16" Type="http://schemas.openxmlformats.org/officeDocument/2006/relationships/hyperlink" Target="http://www.cidb.org.za/" TargetMode="External"/><Relationship Id="rId20" Type="http://schemas.openxmlformats.org/officeDocument/2006/relationships/hyperlink" Target="../Section%20A/20120510%20SECTION%20A%20General%20CJB%20Rev%20MS03.docx" TargetMode="External"/><Relationship Id="rId29" Type="http://schemas.openxmlformats.org/officeDocument/2006/relationships/hyperlink" Target="20120510%20SECTION%20F%20Design%20CJB%20Rev%20MS03.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Section%20G/20120510%20SECTION%20G%20PRM-forms%20CJB%20Rev%20MS01.docx" TargetMode="External"/><Relationship Id="rId24" Type="http://schemas.openxmlformats.org/officeDocument/2006/relationships/oleObject" Target="embeddings/oleObject1.bin"/><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Section%20G/20120510%20SECTION%20G%20PRM-forms%20CJB%20Rev%20MS01.docx" TargetMode="External"/><Relationship Id="rId23" Type="http://schemas.openxmlformats.org/officeDocument/2006/relationships/image" Target="media/image3.wmf"/><Relationship Id="rId28" Type="http://schemas.openxmlformats.org/officeDocument/2006/relationships/hyperlink" Target="20120510%20SECTION%20F%20Design%20CJB%20Rev%20MS03.docx" TargetMode="External"/><Relationship Id="rId10" Type="http://schemas.openxmlformats.org/officeDocument/2006/relationships/hyperlink" Target="../Section%20G/20120510%20SECTION%20G%20PRM-forms%20CJB%20Rev%20MS01.docx" TargetMode="Externa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Section%20G/20120510%20SECTION%20G%20PRM-forms%20CJB%20Rev%20MS01.docx" TargetMode="External"/><Relationship Id="rId22" Type="http://schemas.openxmlformats.org/officeDocument/2006/relationships/hyperlink" Target="20120510%20SECTION%20F%20Design%20CJB%20Rev%20MS03.docx" TargetMode="External"/><Relationship Id="rId27" Type="http://schemas.openxmlformats.org/officeDocument/2006/relationships/hyperlink" Target="../Section%20A/20120510%20SECTION%20A%20General%20CJB%20Rev%20MS03.docx"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25C02-5F96-4B87-8125-C0450DBB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26</Pages>
  <Words>9351</Words>
  <Characters>53303</Characters>
  <Application>Microsoft Office Word</Application>
  <DocSecurity>8</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Mignonne</dc:creator>
  <cp:lastModifiedBy>Mignonne</cp:lastModifiedBy>
  <cp:revision>17</cp:revision>
  <cp:lastPrinted>2012-04-05T11:19:00Z</cp:lastPrinted>
  <dcterms:created xsi:type="dcterms:W3CDTF">2012-04-05T11:18:00Z</dcterms:created>
  <dcterms:modified xsi:type="dcterms:W3CDTF">2012-05-15T11:55:00Z</dcterms:modified>
</cp:coreProperties>
</file>